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40DEC" w14:textId="459EAC17" w:rsidR="00EC2465" w:rsidRPr="00716E6F" w:rsidRDefault="00EC2465" w:rsidP="00CA75AE">
      <w:pPr>
        <w:spacing w:after="300" w:line="360" w:lineRule="auto"/>
        <w:jc w:val="center"/>
        <w:rPr>
          <w:rFonts w:ascii="Times New Roman" w:eastAsia="Times New Roman" w:hAnsi="Times New Roman" w:cs="Times New Roman"/>
          <w:b/>
          <w:bCs/>
          <w:color w:val="0D0D0D"/>
          <w:kern w:val="0"/>
          <w14:ligatures w14:val="none"/>
        </w:rPr>
      </w:pPr>
      <w:r w:rsidRPr="00716E6F">
        <w:rPr>
          <w:rFonts w:ascii="Times New Roman" w:eastAsia="Times New Roman" w:hAnsi="Times New Roman" w:cs="Times New Roman"/>
          <w:b/>
          <w:bCs/>
          <w:color w:val="0D0D0D"/>
          <w:kern w:val="0"/>
          <w14:ligatures w14:val="none"/>
        </w:rPr>
        <w:t xml:space="preserve">Inovație în </w:t>
      </w:r>
      <w:r w:rsidR="00CE4A42" w:rsidRPr="00716E6F">
        <w:rPr>
          <w:rFonts w:ascii="Times New Roman" w:eastAsia="Times New Roman" w:hAnsi="Times New Roman" w:cs="Times New Roman"/>
          <w:b/>
          <w:bCs/>
          <w:color w:val="0D0D0D"/>
          <w:kern w:val="0"/>
          <w14:ligatures w14:val="none"/>
        </w:rPr>
        <w:t>p</w:t>
      </w:r>
      <w:r w:rsidRPr="00716E6F">
        <w:rPr>
          <w:rFonts w:ascii="Times New Roman" w:eastAsia="Times New Roman" w:hAnsi="Times New Roman" w:cs="Times New Roman"/>
          <w:b/>
          <w:bCs/>
          <w:color w:val="0D0D0D"/>
          <w:kern w:val="0"/>
          <w14:ligatures w14:val="none"/>
        </w:rPr>
        <w:t xml:space="preserve">edagogia </w:t>
      </w:r>
      <w:r w:rsidR="00CE4A42" w:rsidRPr="00716E6F">
        <w:rPr>
          <w:rFonts w:ascii="Times New Roman" w:eastAsia="Times New Roman" w:hAnsi="Times New Roman" w:cs="Times New Roman"/>
          <w:b/>
          <w:bCs/>
          <w:color w:val="0D0D0D"/>
          <w:kern w:val="0"/>
          <w14:ligatures w14:val="none"/>
        </w:rPr>
        <w:t>p</w:t>
      </w:r>
      <w:r w:rsidRPr="00716E6F">
        <w:rPr>
          <w:rFonts w:ascii="Times New Roman" w:eastAsia="Times New Roman" w:hAnsi="Times New Roman" w:cs="Times New Roman"/>
          <w:b/>
          <w:bCs/>
          <w:color w:val="0D0D0D"/>
          <w:kern w:val="0"/>
          <w14:ligatures w14:val="none"/>
        </w:rPr>
        <w:t xml:space="preserve">redării </w:t>
      </w:r>
      <w:r w:rsidR="00CE4A42" w:rsidRPr="00716E6F">
        <w:rPr>
          <w:rFonts w:ascii="Times New Roman" w:eastAsia="Times New Roman" w:hAnsi="Times New Roman" w:cs="Times New Roman"/>
          <w:b/>
          <w:bCs/>
          <w:color w:val="0D0D0D"/>
          <w:kern w:val="0"/>
          <w14:ligatures w14:val="none"/>
        </w:rPr>
        <w:t>l</w:t>
      </w:r>
      <w:r w:rsidRPr="00716E6F">
        <w:rPr>
          <w:rFonts w:ascii="Times New Roman" w:eastAsia="Times New Roman" w:hAnsi="Times New Roman" w:cs="Times New Roman"/>
          <w:b/>
          <w:bCs/>
          <w:color w:val="0D0D0D"/>
          <w:kern w:val="0"/>
          <w14:ligatures w14:val="none"/>
        </w:rPr>
        <w:t xml:space="preserve">imbii </w:t>
      </w:r>
      <w:r w:rsidR="00CE4A42" w:rsidRPr="00716E6F">
        <w:rPr>
          <w:rFonts w:ascii="Times New Roman" w:eastAsia="Times New Roman" w:hAnsi="Times New Roman" w:cs="Times New Roman"/>
          <w:b/>
          <w:bCs/>
          <w:color w:val="0D0D0D"/>
          <w:kern w:val="0"/>
          <w14:ligatures w14:val="none"/>
        </w:rPr>
        <w:t>e</w:t>
      </w:r>
      <w:r w:rsidRPr="00716E6F">
        <w:rPr>
          <w:rFonts w:ascii="Times New Roman" w:eastAsia="Times New Roman" w:hAnsi="Times New Roman" w:cs="Times New Roman"/>
          <w:b/>
          <w:bCs/>
          <w:color w:val="0D0D0D"/>
          <w:kern w:val="0"/>
          <w14:ligatures w14:val="none"/>
        </w:rPr>
        <w:t xml:space="preserve">ngleze </w:t>
      </w:r>
      <w:r w:rsidR="00CE4A42" w:rsidRPr="00716E6F">
        <w:rPr>
          <w:rFonts w:ascii="Times New Roman" w:eastAsia="Times New Roman" w:hAnsi="Times New Roman" w:cs="Times New Roman"/>
          <w:b/>
          <w:bCs/>
          <w:color w:val="0D0D0D"/>
          <w:kern w:val="0"/>
          <w14:ligatures w14:val="none"/>
        </w:rPr>
        <w:t>p</w:t>
      </w:r>
      <w:r w:rsidRPr="00716E6F">
        <w:rPr>
          <w:rFonts w:ascii="Times New Roman" w:eastAsia="Times New Roman" w:hAnsi="Times New Roman" w:cs="Times New Roman"/>
          <w:b/>
          <w:bCs/>
          <w:color w:val="0D0D0D"/>
          <w:kern w:val="0"/>
          <w14:ligatures w14:val="none"/>
        </w:rPr>
        <w:t xml:space="preserve">rin </w:t>
      </w:r>
      <w:r w:rsidR="00CE4A42" w:rsidRPr="00716E6F">
        <w:rPr>
          <w:rFonts w:ascii="Times New Roman" w:eastAsia="Times New Roman" w:hAnsi="Times New Roman" w:cs="Times New Roman"/>
          <w:b/>
          <w:bCs/>
          <w:color w:val="0D0D0D"/>
          <w:kern w:val="0"/>
          <w14:ligatures w14:val="none"/>
        </w:rPr>
        <w:t>d</w:t>
      </w:r>
      <w:r w:rsidRPr="00716E6F">
        <w:rPr>
          <w:rFonts w:ascii="Times New Roman" w:eastAsia="Times New Roman" w:hAnsi="Times New Roman" w:cs="Times New Roman"/>
          <w:b/>
          <w:bCs/>
          <w:color w:val="0D0D0D"/>
          <w:kern w:val="0"/>
          <w14:ligatures w14:val="none"/>
        </w:rPr>
        <w:t>igitalizare</w:t>
      </w:r>
    </w:p>
    <w:p w14:paraId="5D06994F" w14:textId="77777777" w:rsidR="00E77F3A" w:rsidRPr="00716E6F" w:rsidRDefault="00E77F3A" w:rsidP="00CA75AE">
      <w:pPr>
        <w:spacing w:after="300" w:line="360" w:lineRule="auto"/>
        <w:jc w:val="both"/>
        <w:rPr>
          <w:rFonts w:ascii="Times New Roman" w:eastAsia="Times New Roman" w:hAnsi="Times New Roman" w:cs="Times New Roman"/>
          <w:b/>
          <w:bCs/>
          <w:color w:val="0D0D0D"/>
          <w:kern w:val="0"/>
          <w14:ligatures w14:val="none"/>
        </w:rPr>
      </w:pPr>
    </w:p>
    <w:p w14:paraId="2197051B" w14:textId="59AF6F90"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Predarea limbii engleze a intrat într-o eră nouă odată cu avansul tehnologic și digitalizarea învățământului. Această transformare aduce cu sine inovații semnificative în pedagogia predării limbii engleze, având potențialul de a revoluționa modul în care elevii învață și își dezvoltă abilitățile lingvistice. În acest eseu, vom explora cum digitalizarea schimbă paradigma predării limbii engleze și cum inovațiile pedagogice pot aduce beneficii substanțiale în procesul de învățare.</w:t>
      </w:r>
    </w:p>
    <w:p w14:paraId="3A57C7F8" w14:textId="5227657A" w:rsidR="00E021E9" w:rsidRPr="00E021E9" w:rsidRDefault="00E021E9" w:rsidP="00E021E9">
      <w:pPr>
        <w:pStyle w:val="Listparagraf"/>
        <w:numPr>
          <w:ilvl w:val="0"/>
          <w:numId w:val="8"/>
        </w:numPr>
        <w:spacing w:before="300" w:after="300" w:line="360" w:lineRule="auto"/>
        <w:jc w:val="both"/>
        <w:rPr>
          <w:rFonts w:ascii="Times New Roman" w:eastAsia="Times New Roman" w:hAnsi="Times New Roman" w:cs="Times New Roman"/>
          <w:b/>
          <w:bCs/>
          <w:color w:val="0D0D0D"/>
          <w:kern w:val="0"/>
          <w14:ligatures w14:val="none"/>
        </w:rPr>
      </w:pPr>
      <w:r w:rsidRPr="00E021E9">
        <w:rPr>
          <w:rFonts w:ascii="Times New Roman" w:eastAsia="Times New Roman" w:hAnsi="Times New Roman" w:cs="Times New Roman"/>
          <w:b/>
          <w:bCs/>
          <w:color w:val="0D0D0D"/>
          <w:kern w:val="0"/>
          <w14:ligatures w14:val="none"/>
        </w:rPr>
        <w:t>Accesibilitate si flexibilitate</w:t>
      </w:r>
    </w:p>
    <w:p w14:paraId="08FE4D56" w14:textId="3D0D1436"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Una dintre cele mai mari avantaje ale digitalizării în predarea limbii engleze este accesibilitatea și flexibilitatea pe care o oferă. Prin intermediul platformelor online și a aplicațiilor mobile, elevii pot avea acces la materiale de învățare în orice moment și în orice loc, fără a fi limitați de timp sau de locație. Aceasta oferă posibilitatea de a personaliza ritmul și modalitatea de învățare în funcție de nevoile individuale ale fiecărui elev.</w:t>
      </w:r>
    </w:p>
    <w:p w14:paraId="39CD3E26" w14:textId="76FFC964" w:rsidR="00E021E9" w:rsidRPr="00E021E9" w:rsidRDefault="00E021E9" w:rsidP="00CA75AE">
      <w:pPr>
        <w:spacing w:before="300" w:after="300" w:line="360" w:lineRule="auto"/>
        <w:ind w:firstLine="360"/>
        <w:jc w:val="both"/>
        <w:rPr>
          <w:rFonts w:ascii="Times New Roman" w:eastAsia="Times New Roman" w:hAnsi="Times New Roman" w:cs="Times New Roman"/>
          <w:b/>
          <w:bCs/>
          <w:color w:val="0D0D0D"/>
          <w:kern w:val="0"/>
          <w14:ligatures w14:val="none"/>
        </w:rPr>
      </w:pPr>
      <w:r w:rsidRPr="00E021E9">
        <w:rPr>
          <w:rFonts w:ascii="Times New Roman" w:eastAsia="Times New Roman" w:hAnsi="Times New Roman" w:cs="Times New Roman"/>
          <w:b/>
          <w:bCs/>
          <w:color w:val="0D0D0D"/>
          <w:kern w:val="0"/>
          <w14:ligatures w14:val="none"/>
        </w:rPr>
        <w:t xml:space="preserve">2. </w:t>
      </w:r>
      <w:r>
        <w:rPr>
          <w:rFonts w:ascii="Times New Roman" w:eastAsia="Times New Roman" w:hAnsi="Times New Roman" w:cs="Times New Roman"/>
          <w:b/>
          <w:bCs/>
          <w:color w:val="0D0D0D"/>
          <w:kern w:val="0"/>
          <w14:ligatures w14:val="none"/>
        </w:rPr>
        <w:t>D</w:t>
      </w:r>
      <w:r w:rsidRPr="00E021E9">
        <w:rPr>
          <w:rFonts w:ascii="Times New Roman" w:eastAsia="Times New Roman" w:hAnsi="Times New Roman" w:cs="Times New Roman"/>
          <w:b/>
          <w:bCs/>
          <w:color w:val="0D0D0D"/>
          <w:kern w:val="0"/>
          <w14:ligatures w14:val="none"/>
        </w:rPr>
        <w:t>iversitatea Resurselor Educationale</w:t>
      </w:r>
    </w:p>
    <w:p w14:paraId="03605ED2" w14:textId="15DF7FC2"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Digitalizarea în predarea limbii engleze aduce o gamă largă de resurse educaționale disponibile online. De la aplicații interactive și platforme de învățare adaptative până la materiale multimedia bogate și jocuri educaționale, există o varietate de instrumente și resurse care pot fi folosite pentru a face învățarea mai captivantă și mai eficientă. Această diversitate permite profesorilor să aleagă resursele care se potrivesc cel mai bine nevoilor și preferințelor elevilor lor.</w:t>
      </w:r>
    </w:p>
    <w:p w14:paraId="23223D76" w14:textId="7F5F8781" w:rsidR="00EC2465" w:rsidRPr="00E021E9" w:rsidRDefault="00E021E9" w:rsidP="00E021E9">
      <w:pPr>
        <w:spacing w:before="300" w:after="300" w:line="360" w:lineRule="auto"/>
        <w:ind w:firstLine="360"/>
        <w:jc w:val="both"/>
        <w:rPr>
          <w:rFonts w:ascii="Times New Roman" w:eastAsia="Times New Roman" w:hAnsi="Times New Roman" w:cs="Times New Roman"/>
          <w:b/>
          <w:bCs/>
          <w:color w:val="0D0D0D"/>
          <w:kern w:val="0"/>
          <w14:ligatures w14:val="none"/>
        </w:rPr>
      </w:pPr>
      <w:r w:rsidRPr="00E021E9">
        <w:rPr>
          <w:rFonts w:ascii="Times New Roman" w:eastAsia="Times New Roman" w:hAnsi="Times New Roman" w:cs="Times New Roman"/>
          <w:b/>
          <w:bCs/>
          <w:color w:val="0D0D0D"/>
          <w:kern w:val="0"/>
          <w14:ligatures w14:val="none"/>
        </w:rPr>
        <w:t>3. Interactivitate si Angajament</w:t>
      </w:r>
    </w:p>
    <w:p w14:paraId="739CA0EB" w14:textId="0EDE5AAD"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O altă caracteristică cheie a digitalizării în predarea limbii engleze este interactivitatea și angajamentul pe care aceasta le aduce în procesul de învățare. Aplicațiile și platformele digitale oferă oportunități pentru interacțiune și colaborare între elevi, precum și pentru feedback imediat și evaluare continuă. Aceste aspecte stimulează participarea activă a elevilor și îi implică în moduri noi și inovatoare în procesul de învățare.</w:t>
      </w:r>
    </w:p>
    <w:p w14:paraId="0349473D" w14:textId="316ACCA1" w:rsidR="00E021E9" w:rsidRPr="00E021E9" w:rsidRDefault="00E021E9" w:rsidP="00CA75AE">
      <w:pPr>
        <w:spacing w:before="300" w:after="300" w:line="360" w:lineRule="auto"/>
        <w:ind w:firstLine="360"/>
        <w:jc w:val="both"/>
        <w:rPr>
          <w:rFonts w:ascii="Times New Roman" w:eastAsia="Times New Roman" w:hAnsi="Times New Roman" w:cs="Times New Roman"/>
          <w:b/>
          <w:bCs/>
          <w:color w:val="0D0D0D"/>
          <w:kern w:val="0"/>
          <w14:ligatures w14:val="none"/>
        </w:rPr>
      </w:pPr>
      <w:r w:rsidRPr="00E021E9">
        <w:rPr>
          <w:rFonts w:ascii="Times New Roman" w:eastAsia="Times New Roman" w:hAnsi="Times New Roman" w:cs="Times New Roman"/>
          <w:b/>
          <w:bCs/>
          <w:color w:val="0D0D0D"/>
          <w:kern w:val="0"/>
          <w14:ligatures w14:val="none"/>
        </w:rPr>
        <w:lastRenderedPageBreak/>
        <w:t>4. Personalizarea Invatarii</w:t>
      </w:r>
    </w:p>
    <w:p w14:paraId="6C7D0D7A" w14:textId="22854014"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Digitalizarea permite personalizarea învățării în funcție de nevoile și nivelurile individuale ale elevilor. Prin utilizarea algoritmilor de învățare automată și a analizei datelor, platformele digitale pot adapta conținutul și activitățile în funcție de performanța și progresul fiecărui elev. Această abordare individualizată maximizează eficiența învățării și asigură că fiecare elev primește sprijinul și resursele de care are nevoie pentru a-și atinge obiectivele lingvistice.</w:t>
      </w:r>
    </w:p>
    <w:p w14:paraId="6CF81368" w14:textId="19A629D1" w:rsidR="00E021E9" w:rsidRPr="00E021E9" w:rsidRDefault="00E021E9" w:rsidP="00CA75AE">
      <w:pPr>
        <w:spacing w:before="300" w:after="300" w:line="360" w:lineRule="auto"/>
        <w:ind w:firstLine="360"/>
        <w:jc w:val="both"/>
        <w:rPr>
          <w:rFonts w:ascii="Times New Roman" w:eastAsia="Times New Roman" w:hAnsi="Times New Roman" w:cs="Times New Roman"/>
          <w:b/>
          <w:bCs/>
          <w:color w:val="0D0D0D"/>
          <w:kern w:val="0"/>
          <w14:ligatures w14:val="none"/>
        </w:rPr>
      </w:pPr>
      <w:r>
        <w:rPr>
          <w:rFonts w:ascii="Times New Roman" w:eastAsia="Times New Roman" w:hAnsi="Times New Roman" w:cs="Times New Roman"/>
          <w:b/>
          <w:bCs/>
          <w:color w:val="0D0D0D"/>
          <w:kern w:val="0"/>
          <w14:ligatures w14:val="none"/>
        </w:rPr>
        <w:t>5</w:t>
      </w:r>
      <w:r w:rsidRPr="00E021E9">
        <w:rPr>
          <w:rFonts w:ascii="Times New Roman" w:eastAsia="Times New Roman" w:hAnsi="Times New Roman" w:cs="Times New Roman"/>
          <w:b/>
          <w:bCs/>
          <w:color w:val="0D0D0D"/>
          <w:kern w:val="0"/>
          <w14:ligatures w14:val="none"/>
        </w:rPr>
        <w:t>. Colaborare si Conectare Globala</w:t>
      </w:r>
    </w:p>
    <w:p w14:paraId="4B24C3D0" w14:textId="169EF1D3" w:rsidR="00EC2465"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Digitalizarea în predarea limbii engleze facilitează colaborarea și conectarea între elevi din întreaga lume. Prin intermediul platformelor online și a rețelelor sociale, elevii pot comunica și colabora cu colegi din alte țări, având oportunitatea de a-și îmbunătăți abilitățile lingvistice prin interacțiunea cu vorbitori nativi și prin explorarea culturii și a diversității lingvistice.</w:t>
      </w:r>
    </w:p>
    <w:p w14:paraId="6AAFD649" w14:textId="0442A832" w:rsidR="00E021E9" w:rsidRPr="00E021E9" w:rsidRDefault="00E021E9" w:rsidP="00CA75AE">
      <w:pPr>
        <w:spacing w:before="300" w:after="300" w:line="360" w:lineRule="auto"/>
        <w:ind w:firstLine="360"/>
        <w:jc w:val="both"/>
        <w:rPr>
          <w:rFonts w:ascii="Times New Roman" w:eastAsia="Times New Roman" w:hAnsi="Times New Roman" w:cs="Times New Roman"/>
          <w:b/>
          <w:bCs/>
          <w:color w:val="0D0D0D"/>
          <w:kern w:val="0"/>
          <w14:ligatures w14:val="none"/>
        </w:rPr>
      </w:pPr>
      <w:r w:rsidRPr="00E021E9">
        <w:rPr>
          <w:rFonts w:ascii="Times New Roman" w:eastAsia="Times New Roman" w:hAnsi="Times New Roman" w:cs="Times New Roman"/>
          <w:b/>
          <w:bCs/>
          <w:color w:val="0D0D0D"/>
          <w:kern w:val="0"/>
          <w14:ligatures w14:val="none"/>
        </w:rPr>
        <w:t>6. Provocari si aspect de luat in considerare</w:t>
      </w:r>
    </w:p>
    <w:p w14:paraId="23645053" w14:textId="77777777" w:rsidR="00EC2465" w:rsidRPr="00716E6F" w:rsidRDefault="00EC2465" w:rsidP="00CA75AE">
      <w:pPr>
        <w:spacing w:before="300" w:after="30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Cu toate aceste beneficii, există și provocări asociate cu digitalizarea în predarea limbii engleze. Unele dintre acestea includ nevoia de acces la tehnologie și la internet, capacitățile tehnologice ale profesorilor și elevilor, precum și calitatea și relevanța resurselor digitale disponibile. Este important ca profesorii să fie pregătiți și să primească formare adecvată pentru a utiliza eficient tehnologia digitală în procesul de predare și pentru a evalua critic resursele disponibile.</w:t>
      </w:r>
    </w:p>
    <w:p w14:paraId="5A6A4D7A" w14:textId="77777777" w:rsidR="00EC2465" w:rsidRPr="00716E6F" w:rsidRDefault="00EC2465" w:rsidP="00CA75AE">
      <w:pPr>
        <w:spacing w:before="300" w:after="0" w:line="360" w:lineRule="auto"/>
        <w:ind w:firstLine="360"/>
        <w:jc w:val="both"/>
        <w:rPr>
          <w:rFonts w:ascii="Times New Roman" w:eastAsia="Times New Roman" w:hAnsi="Times New Roman" w:cs="Times New Roman"/>
          <w:color w:val="0D0D0D"/>
          <w:kern w:val="0"/>
          <w14:ligatures w14:val="none"/>
        </w:rPr>
      </w:pPr>
      <w:r w:rsidRPr="00716E6F">
        <w:rPr>
          <w:rFonts w:ascii="Times New Roman" w:eastAsia="Times New Roman" w:hAnsi="Times New Roman" w:cs="Times New Roman"/>
          <w:color w:val="0D0D0D"/>
          <w:kern w:val="0"/>
          <w14:ligatures w14:val="none"/>
        </w:rPr>
        <w:t>În concluzie, digitalizarea aduce o serie de inovații și oportunități semnificative în pedagogia predării limbii engleze, transformând modul în care elevii învață și își dezvoltă abilitățile lingvistice. Cu toate acestea, este esențial să luăm în considerare și să gestionăm provocările asociate, asigurându-ne că digitalizarea în predarea limbii engleze este implementată într-un mod care să maximizeze beneficiile și să asigure accesul și echitatea pentru toți elevii.</w:t>
      </w:r>
    </w:p>
    <w:p w14:paraId="0590BB98" w14:textId="77777777" w:rsidR="00343586" w:rsidRDefault="00343586" w:rsidP="00343586">
      <w:pPr>
        <w:spacing w:after="0" w:line="360" w:lineRule="auto"/>
        <w:jc w:val="right"/>
        <w:rPr>
          <w:rFonts w:ascii="Times New Roman" w:eastAsia="Times New Roman" w:hAnsi="Times New Roman" w:cs="Times New Roman"/>
          <w:b/>
          <w:bCs/>
          <w:color w:val="0D0D0D"/>
          <w:kern w:val="0"/>
          <w14:ligatures w14:val="none"/>
        </w:rPr>
      </w:pPr>
    </w:p>
    <w:p w14:paraId="19BD3912" w14:textId="2C13903A" w:rsidR="00343586" w:rsidRPr="00716E6F" w:rsidRDefault="00343586" w:rsidP="00343586">
      <w:pPr>
        <w:spacing w:after="0" w:line="360" w:lineRule="auto"/>
        <w:jc w:val="right"/>
        <w:rPr>
          <w:rFonts w:ascii="Times New Roman" w:eastAsia="Times New Roman" w:hAnsi="Times New Roman" w:cs="Times New Roman"/>
          <w:b/>
          <w:bCs/>
          <w:color w:val="0D0D0D"/>
          <w:kern w:val="0"/>
          <w14:ligatures w14:val="none"/>
        </w:rPr>
      </w:pPr>
      <w:r w:rsidRPr="00716E6F">
        <w:rPr>
          <w:rFonts w:ascii="Times New Roman" w:eastAsia="Times New Roman" w:hAnsi="Times New Roman" w:cs="Times New Roman"/>
          <w:b/>
          <w:bCs/>
          <w:color w:val="0D0D0D"/>
          <w:kern w:val="0"/>
          <w14:ligatures w14:val="none"/>
        </w:rPr>
        <w:t>prof. Cuzi Mihaela</w:t>
      </w:r>
    </w:p>
    <w:p w14:paraId="0B43334C" w14:textId="77777777" w:rsidR="00343586" w:rsidRPr="00716E6F" w:rsidRDefault="00343586" w:rsidP="00343586">
      <w:pPr>
        <w:spacing w:after="0" w:line="360" w:lineRule="auto"/>
        <w:jc w:val="right"/>
        <w:rPr>
          <w:rFonts w:ascii="Times New Roman" w:eastAsia="Times New Roman" w:hAnsi="Times New Roman" w:cs="Times New Roman"/>
          <w:b/>
          <w:bCs/>
          <w:color w:val="0D0D0D"/>
          <w:kern w:val="0"/>
          <w14:ligatures w14:val="none"/>
        </w:rPr>
      </w:pPr>
      <w:r w:rsidRPr="00716E6F">
        <w:rPr>
          <w:rFonts w:ascii="Times New Roman" w:eastAsia="Times New Roman" w:hAnsi="Times New Roman" w:cs="Times New Roman"/>
          <w:b/>
          <w:bCs/>
          <w:color w:val="0D0D0D"/>
          <w:kern w:val="0"/>
          <w14:ligatures w14:val="none"/>
        </w:rPr>
        <w:t>Colegiul Național “Costache Negri”-Galați</w:t>
      </w:r>
    </w:p>
    <w:p w14:paraId="7EA289F2" w14:textId="77777777" w:rsidR="00EC2465" w:rsidRPr="00716E6F" w:rsidRDefault="00EC2465" w:rsidP="00CA75AE">
      <w:pPr>
        <w:spacing w:line="360" w:lineRule="auto"/>
        <w:jc w:val="both"/>
        <w:rPr>
          <w:rFonts w:ascii="Times New Roman" w:hAnsi="Times New Roman" w:cs="Times New Roman"/>
        </w:rPr>
      </w:pPr>
    </w:p>
    <w:sectPr w:rsidR="00EC2465" w:rsidRPr="00716E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C1816"/>
    <w:multiLevelType w:val="multilevel"/>
    <w:tmpl w:val="8F0C3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4173C6"/>
    <w:multiLevelType w:val="multilevel"/>
    <w:tmpl w:val="9006B7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B32B31"/>
    <w:multiLevelType w:val="multilevel"/>
    <w:tmpl w:val="462EA7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9E0075"/>
    <w:multiLevelType w:val="hybridMultilevel"/>
    <w:tmpl w:val="781E9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F8A05F7"/>
    <w:multiLevelType w:val="hybridMultilevel"/>
    <w:tmpl w:val="1D989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261DF6"/>
    <w:multiLevelType w:val="multilevel"/>
    <w:tmpl w:val="3CD4F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201EAF"/>
    <w:multiLevelType w:val="multilevel"/>
    <w:tmpl w:val="C60AE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BB7293"/>
    <w:multiLevelType w:val="multilevel"/>
    <w:tmpl w:val="89FC1C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8295648">
    <w:abstractNumId w:val="0"/>
  </w:num>
  <w:num w:numId="2" w16cid:durableId="1199971599">
    <w:abstractNumId w:val="2"/>
  </w:num>
  <w:num w:numId="3" w16cid:durableId="947660359">
    <w:abstractNumId w:val="5"/>
  </w:num>
  <w:num w:numId="4" w16cid:durableId="1242179706">
    <w:abstractNumId w:val="6"/>
  </w:num>
  <w:num w:numId="5" w16cid:durableId="1254047133">
    <w:abstractNumId w:val="1"/>
  </w:num>
  <w:num w:numId="6" w16cid:durableId="2032604100">
    <w:abstractNumId w:val="7"/>
  </w:num>
  <w:num w:numId="7" w16cid:durableId="1026294988">
    <w:abstractNumId w:val="3"/>
  </w:num>
  <w:num w:numId="8" w16cid:durableId="1184248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465"/>
    <w:rsid w:val="00343586"/>
    <w:rsid w:val="00602D8B"/>
    <w:rsid w:val="00716E6F"/>
    <w:rsid w:val="00C841E7"/>
    <w:rsid w:val="00CA75AE"/>
    <w:rsid w:val="00CE4A42"/>
    <w:rsid w:val="00E021E9"/>
    <w:rsid w:val="00E77F3A"/>
    <w:rsid w:val="00E8797F"/>
    <w:rsid w:val="00EC2465"/>
    <w:rsid w:val="00FE0B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03FF5"/>
  <w15:chartTrackingRefBased/>
  <w15:docId w15:val="{B081A1B7-56A8-6240-B3B6-A5A8796F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C2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C2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C246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C246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C246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C246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246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246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246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246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C246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C246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C246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C246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C246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C246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C246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C2465"/>
    <w:rPr>
      <w:rFonts w:eastAsiaTheme="majorEastAsia" w:cstheme="majorBidi"/>
      <w:color w:val="272727" w:themeColor="text1" w:themeTint="D8"/>
    </w:rPr>
  </w:style>
  <w:style w:type="paragraph" w:styleId="Titlu">
    <w:name w:val="Title"/>
    <w:basedOn w:val="Normal"/>
    <w:next w:val="Normal"/>
    <w:link w:val="TitluCaracter"/>
    <w:uiPriority w:val="10"/>
    <w:qFormat/>
    <w:rsid w:val="00EC2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C246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C246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246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C246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2465"/>
    <w:rPr>
      <w:i/>
      <w:iCs/>
      <w:color w:val="404040" w:themeColor="text1" w:themeTint="BF"/>
    </w:rPr>
  </w:style>
  <w:style w:type="paragraph" w:styleId="Listparagraf">
    <w:name w:val="List Paragraph"/>
    <w:basedOn w:val="Normal"/>
    <w:uiPriority w:val="34"/>
    <w:qFormat/>
    <w:rsid w:val="00EC2465"/>
    <w:pPr>
      <w:ind w:left="720"/>
      <w:contextualSpacing/>
    </w:pPr>
  </w:style>
  <w:style w:type="character" w:styleId="Accentuareintens">
    <w:name w:val="Intense Emphasis"/>
    <w:basedOn w:val="Fontdeparagrafimplicit"/>
    <w:uiPriority w:val="21"/>
    <w:qFormat/>
    <w:rsid w:val="00EC2465"/>
    <w:rPr>
      <w:i/>
      <w:iCs/>
      <w:color w:val="0F4761" w:themeColor="accent1" w:themeShade="BF"/>
    </w:rPr>
  </w:style>
  <w:style w:type="paragraph" w:styleId="Citatintens">
    <w:name w:val="Intense Quote"/>
    <w:basedOn w:val="Normal"/>
    <w:next w:val="Normal"/>
    <w:link w:val="CitatintensCaracter"/>
    <w:uiPriority w:val="30"/>
    <w:qFormat/>
    <w:rsid w:val="00EC2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C2465"/>
    <w:rPr>
      <w:i/>
      <w:iCs/>
      <w:color w:val="0F4761" w:themeColor="accent1" w:themeShade="BF"/>
    </w:rPr>
  </w:style>
  <w:style w:type="character" w:styleId="Referireintens">
    <w:name w:val="Intense Reference"/>
    <w:basedOn w:val="Fontdeparagrafimplicit"/>
    <w:uiPriority w:val="32"/>
    <w:qFormat/>
    <w:rsid w:val="00EC2465"/>
    <w:rPr>
      <w:b/>
      <w:bCs/>
      <w:smallCaps/>
      <w:color w:val="0F4761" w:themeColor="accent1" w:themeShade="BF"/>
      <w:spacing w:val="5"/>
    </w:rPr>
  </w:style>
  <w:style w:type="paragraph" w:styleId="NormalWeb">
    <w:name w:val="Normal (Web)"/>
    <w:basedOn w:val="Normal"/>
    <w:uiPriority w:val="99"/>
    <w:semiHidden/>
    <w:unhideWhenUsed/>
    <w:rsid w:val="00EC246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Robust">
    <w:name w:val="Strong"/>
    <w:basedOn w:val="Fontdeparagrafimplicit"/>
    <w:uiPriority w:val="22"/>
    <w:qFormat/>
    <w:rsid w:val="00EC2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91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3445</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Madalina</dc:creator>
  <cp:keywords/>
  <dc:description/>
  <cp:lastModifiedBy>Marilena Dobre</cp:lastModifiedBy>
  <cp:revision>2</cp:revision>
  <dcterms:created xsi:type="dcterms:W3CDTF">2024-05-24T08:27:00Z</dcterms:created>
  <dcterms:modified xsi:type="dcterms:W3CDTF">2024-05-24T08:27:00Z</dcterms:modified>
</cp:coreProperties>
</file>