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663EE" w:rsidRPr="00AC7495" w:rsidRDefault="0007667C" w:rsidP="009663EE">
      <w:pPr>
        <w:spacing w:line="240" w:lineRule="auto"/>
        <w:ind w:firstLine="720"/>
        <w:jc w:val="center"/>
        <w:rPr>
          <w:rFonts w:ascii="Times New Roman" w:hAnsi="Times New Roman" w:cs="Times New Roman"/>
          <w:b/>
          <w:color w:val="4D5156"/>
          <w:sz w:val="24"/>
          <w:szCs w:val="24"/>
          <w:shd w:val="clear" w:color="auto" w:fill="FFFFFF"/>
        </w:rPr>
      </w:pPr>
      <w:r>
        <w:rPr>
          <w:rFonts w:ascii="Times New Roman" w:hAnsi="Times New Roman" w:cs="Times New Roman"/>
          <w:b/>
          <w:color w:val="4D5156"/>
          <w:sz w:val="24"/>
          <w:szCs w:val="24"/>
          <w:shd w:val="clear" w:color="auto" w:fill="FFFFFF"/>
        </w:rPr>
        <w:t xml:space="preserve">Modele de </w:t>
      </w:r>
      <w:r w:rsidR="009663EE" w:rsidRPr="00AC7495">
        <w:rPr>
          <w:rFonts w:ascii="Times New Roman" w:hAnsi="Times New Roman" w:cs="Times New Roman"/>
          <w:b/>
          <w:color w:val="4D5156"/>
          <w:sz w:val="24"/>
          <w:szCs w:val="24"/>
          <w:shd w:val="clear" w:color="auto" w:fill="FFFFFF"/>
        </w:rPr>
        <w:t xml:space="preserve">ȋnvățarea </w:t>
      </w:r>
      <w:r>
        <w:rPr>
          <w:rFonts w:ascii="Times New Roman" w:hAnsi="Times New Roman" w:cs="Times New Roman"/>
          <w:b/>
          <w:color w:val="4D5156"/>
          <w:sz w:val="24"/>
          <w:szCs w:val="24"/>
          <w:shd w:val="clear" w:color="auto" w:fill="FFFFFF"/>
        </w:rPr>
        <w:t>adaptate generaţiei actuale</w:t>
      </w:r>
    </w:p>
    <w:p w:rsidR="009663EE" w:rsidRDefault="009663EE" w:rsidP="009663EE">
      <w:pPr>
        <w:spacing w:after="0" w:line="360" w:lineRule="auto"/>
        <w:ind w:firstLine="720"/>
        <w:rPr>
          <w:rFonts w:ascii="Times New Roman" w:hAnsi="Times New Roman" w:cs="Times New Roman"/>
          <w:color w:val="4D5156"/>
          <w:sz w:val="24"/>
          <w:szCs w:val="24"/>
          <w:shd w:val="clear" w:color="auto" w:fill="FFFFFF"/>
        </w:rPr>
      </w:pPr>
      <w:r>
        <w:rPr>
          <w:rFonts w:ascii="Times New Roman" w:hAnsi="Times New Roman" w:cs="Times New Roman"/>
          <w:color w:val="4D5156"/>
          <w:sz w:val="24"/>
          <w:szCs w:val="24"/>
          <w:shd w:val="clear" w:color="auto" w:fill="FFFFFF"/>
        </w:rPr>
        <w:t xml:space="preserve">                                                     Prof. ȋnv. Primar: Neguţu Nicoleta Cătălina, </w:t>
      </w:r>
    </w:p>
    <w:p w:rsidR="009663EE" w:rsidRDefault="009663EE" w:rsidP="009663EE">
      <w:pPr>
        <w:spacing w:after="0" w:line="360" w:lineRule="auto"/>
        <w:ind w:firstLine="720"/>
        <w:rPr>
          <w:rFonts w:ascii="Times New Roman" w:hAnsi="Times New Roman" w:cs="Times New Roman"/>
          <w:color w:val="4D5156"/>
          <w:sz w:val="24"/>
          <w:szCs w:val="24"/>
          <w:shd w:val="clear" w:color="auto" w:fill="FFFFFF"/>
        </w:rPr>
      </w:pPr>
      <w:r>
        <w:rPr>
          <w:rFonts w:ascii="Times New Roman" w:hAnsi="Times New Roman" w:cs="Times New Roman"/>
          <w:color w:val="4D5156"/>
          <w:sz w:val="24"/>
          <w:szCs w:val="24"/>
          <w:shd w:val="clear" w:color="auto" w:fill="FFFFFF"/>
        </w:rPr>
        <w:t xml:space="preserve">                                                                 Şc. Gimnazială “Sfȃntul Vasile”, Ploiești</w:t>
      </w:r>
    </w:p>
    <w:p w:rsidR="009663EE" w:rsidRPr="00AC7495" w:rsidRDefault="009663EE" w:rsidP="009663EE">
      <w:pPr>
        <w:spacing w:line="360" w:lineRule="auto"/>
        <w:ind w:firstLine="720"/>
        <w:jc w:val="both"/>
        <w:rPr>
          <w:rFonts w:ascii="Times New Roman" w:hAnsi="Times New Roman" w:cs="Times New Roman"/>
          <w:color w:val="4D5156"/>
          <w:sz w:val="24"/>
          <w:szCs w:val="24"/>
          <w:shd w:val="clear" w:color="auto" w:fill="FFFFFF"/>
        </w:rPr>
      </w:pPr>
      <w:r w:rsidRPr="00AC7495">
        <w:rPr>
          <w:rFonts w:ascii="Times New Roman" w:hAnsi="Times New Roman" w:cs="Times New Roman"/>
          <w:color w:val="4D5156"/>
          <w:sz w:val="24"/>
          <w:szCs w:val="24"/>
          <w:shd w:val="clear" w:color="auto" w:fill="FFFFFF"/>
        </w:rPr>
        <w:t xml:space="preserve">Ȋnvățarea experiențială este procesul prin care cunoașterea apare prin experiența directă, adică "a învăța din experiență". Experiența poate avea la bază un scenariu sau poate fi arbitrară. Aristotel a spus odata " Lucrurile pe care trebuie să le învățăm înainte să le facem, le învățăm făcându-le". </w:t>
      </w:r>
    </w:p>
    <w:p w:rsidR="009663EE" w:rsidRPr="00AC7495"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Învățarea prin experiență impli</w:t>
      </w:r>
      <w:r>
        <w:rPr>
          <w:rFonts w:ascii="Times New Roman" w:hAnsi="Times New Roman" w:cs="Times New Roman"/>
          <w:sz w:val="24"/>
          <w:szCs w:val="24"/>
        </w:rPr>
        <w:t>că elevii în gândirea critică, ȋ</w:t>
      </w:r>
      <w:r w:rsidRPr="00AC7495">
        <w:rPr>
          <w:rFonts w:ascii="Times New Roman" w:hAnsi="Times New Roman" w:cs="Times New Roman"/>
          <w:sz w:val="24"/>
          <w:szCs w:val="24"/>
        </w:rPr>
        <w:t>n rezolvarea problemelor și luarea deciziilor în contexte care sunt in mod personal relevante pentru aceștia. Această abordare a învățării implică, de asemenea, crearea de oportunități de dezbatere și consolidare a ideilor și abilităților prin feedback, reflecție și aplicare a ideilor și abilităților în situații noi.</w:t>
      </w:r>
    </w:p>
    <w:p w:rsidR="009663EE" w:rsidRPr="00AC7495"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Învățarea prin experiență este baza pentru sistemul educational al secolului al XXI-lea; din acest motiv, acest model de învățare poate fi și este aplicat pe scară largă la toate grupele de vârstă. Deoarece se bazează pe experiența și "atingerea unei lumi reale" - teoria este amestecată cu practica -, copiii sunt încurajați să își dezvolte propriile forțe și talente personale care le pot servi în viața de zi cu zi.</w:t>
      </w:r>
    </w:p>
    <w:p w:rsidR="009663EE" w:rsidRPr="00AC7495"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De asemenea, se demonstrează că tehnologia poate avea un impact deosebit asupra învățării experiențiale. Căutând informații sau creând proiecte și prezentări, copiii și-au dezvoltat abilitățile folosind tehnologia informatică și alte tehnologii moderne. Majoritatea educatorilor (93%) susțin că tehnologiile moderne aplicate în sala de clasă și curriculum-ul lor în general, ajută copiii să atingă realizări importante în viața lor scolară.</w:t>
      </w:r>
    </w:p>
    <w:p w:rsidR="009663EE" w:rsidRPr="00AC7495"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Când vorbim despre învățarea prin experientă, "implicarea" este cuvântul cheie. Elevul învață facand, cooperând, dar, mai presus de toate, învață din propria sa experiență</w:t>
      </w:r>
    </w:p>
    <w:p w:rsidR="009663EE" w:rsidRPr="00AC7495"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Profesorii știu că elevii învață mai repede și își amintesc mai multe informații atunci când subiectul se referă la ei personal. Acțiunea de a “face el insusi” face ca învățarea să fie extrem de personală. După cum spune Sir Richard Branson, "Nu învățați să mergeți respectând regulile. Învățați prin a face lucrul acesta, și prin a cădea. "Procesul de învățare experiențială implică atât auto-inițiativă și autoevaluare, cât și activități practice.</w:t>
      </w:r>
    </w:p>
    <w:p w:rsidR="009663EE"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 xml:space="preserve">Rolul principal al profesorului este acela de a stabili seturi de experiențe adecvate, de a pune probleme, de a stabili limite, de a sprijini elevii, de a asigura siguranța fizică și </w:t>
      </w:r>
      <w:r w:rsidRPr="00AC7495">
        <w:rPr>
          <w:rFonts w:ascii="Times New Roman" w:hAnsi="Times New Roman" w:cs="Times New Roman"/>
          <w:sz w:val="24"/>
          <w:szCs w:val="24"/>
        </w:rPr>
        <w:lastRenderedPageBreak/>
        <w:t>emoțională și de a facilita procesul de învățare. În felul acesta, în mediul educațional, relațiile sunt dezvoltate și cultivate astfel: elevul cu sine, elevul cu alții și elevul cu lumea în general.</w:t>
      </w:r>
    </w:p>
    <w:p w:rsidR="009663EE" w:rsidRPr="00C71BC0" w:rsidRDefault="009663EE" w:rsidP="009663EE">
      <w:pPr>
        <w:spacing w:line="360" w:lineRule="auto"/>
        <w:ind w:firstLine="720"/>
        <w:jc w:val="both"/>
        <w:rPr>
          <w:rFonts w:ascii="Times New Roman" w:hAnsi="Times New Roman" w:cs="Times New Roman"/>
          <w:sz w:val="24"/>
          <w:szCs w:val="24"/>
        </w:rPr>
      </w:pPr>
      <w:r w:rsidRPr="00C71BC0">
        <w:rPr>
          <w:rFonts w:ascii="Times New Roman" w:hAnsi="Times New Roman" w:cs="Times New Roman"/>
          <w:sz w:val="24"/>
          <w:szCs w:val="24"/>
        </w:rPr>
        <w:t>Unul dintre teoreticienii acestui tip de educație, David Kolb, consideră experiența un factor esențial de învățare și dezvoltare. Acesta propune un model de învățare experiențială (1984), ce are la bază patru etape:</w:t>
      </w:r>
    </w:p>
    <w:p w:rsidR="009663EE" w:rsidRPr="00AC7495" w:rsidRDefault="009663EE" w:rsidP="009663EE">
      <w:pPr>
        <w:spacing w:line="360" w:lineRule="auto"/>
        <w:ind w:left="720"/>
        <w:jc w:val="both"/>
        <w:rPr>
          <w:rFonts w:ascii="Times New Roman" w:hAnsi="Times New Roman" w:cs="Times New Roman"/>
          <w:sz w:val="24"/>
          <w:szCs w:val="24"/>
        </w:rPr>
      </w:pPr>
      <w:r w:rsidRPr="00C71BC0">
        <w:rPr>
          <w:rFonts w:ascii="Times New Roman" w:hAnsi="Times New Roman" w:cs="Times New Roman"/>
          <w:b/>
          <w:bCs/>
          <w:sz w:val="24"/>
          <w:szCs w:val="24"/>
        </w:rPr>
        <w:t>Etapa I</w:t>
      </w:r>
      <w:r w:rsidRPr="00C71BC0">
        <w:rPr>
          <w:rFonts w:ascii="Times New Roman" w:hAnsi="Times New Roman" w:cs="Times New Roman"/>
          <w:sz w:val="24"/>
          <w:szCs w:val="24"/>
        </w:rPr>
        <w:t>: Trăim experiența (aici se poate propune un joc sau o povestire cu tâlc);</w:t>
      </w:r>
      <w:r w:rsidRPr="00C71BC0">
        <w:rPr>
          <w:rFonts w:ascii="Times New Roman" w:hAnsi="Times New Roman" w:cs="Times New Roman"/>
          <w:sz w:val="24"/>
          <w:szCs w:val="24"/>
        </w:rPr>
        <w:br/>
      </w:r>
      <w:r w:rsidRPr="00C71BC0">
        <w:rPr>
          <w:rFonts w:ascii="Times New Roman" w:hAnsi="Times New Roman" w:cs="Times New Roman"/>
          <w:b/>
          <w:bCs/>
          <w:sz w:val="24"/>
          <w:szCs w:val="24"/>
        </w:rPr>
        <w:t>Etapa a II-a</w:t>
      </w:r>
      <w:r w:rsidRPr="00C71BC0">
        <w:rPr>
          <w:rFonts w:ascii="Times New Roman" w:hAnsi="Times New Roman" w:cs="Times New Roman"/>
          <w:sz w:val="24"/>
          <w:szCs w:val="24"/>
        </w:rPr>
        <w:t>: Observația și reflecția cu privire la experiență (reflectăm asupra experienței pe care am trăit-o);</w:t>
      </w:r>
      <w:r w:rsidRPr="00C71BC0">
        <w:rPr>
          <w:rFonts w:ascii="Times New Roman" w:hAnsi="Times New Roman" w:cs="Times New Roman"/>
          <w:sz w:val="24"/>
          <w:szCs w:val="24"/>
        </w:rPr>
        <w:br/>
      </w:r>
      <w:r w:rsidRPr="00C71BC0">
        <w:rPr>
          <w:rFonts w:ascii="Times New Roman" w:hAnsi="Times New Roman" w:cs="Times New Roman"/>
          <w:b/>
          <w:bCs/>
          <w:sz w:val="24"/>
          <w:szCs w:val="24"/>
        </w:rPr>
        <w:t>Etapa a III-a</w:t>
      </w:r>
      <w:r w:rsidRPr="00C71BC0">
        <w:rPr>
          <w:rFonts w:ascii="Times New Roman" w:hAnsi="Times New Roman" w:cs="Times New Roman"/>
          <w:sz w:val="24"/>
          <w:szCs w:val="24"/>
        </w:rPr>
        <w:t>: Interpretăm și generalizăm (se interpretează ceea ce s-a discutat în etapă de reflecție pentru a vedea care sunt „lecțiile” învățate );</w:t>
      </w:r>
      <w:r w:rsidRPr="00C71BC0">
        <w:rPr>
          <w:rFonts w:ascii="Times New Roman" w:hAnsi="Times New Roman" w:cs="Times New Roman"/>
          <w:sz w:val="24"/>
          <w:szCs w:val="24"/>
        </w:rPr>
        <w:br/>
      </w:r>
      <w:r w:rsidRPr="00C71BC0">
        <w:rPr>
          <w:rFonts w:ascii="Times New Roman" w:hAnsi="Times New Roman" w:cs="Times New Roman"/>
          <w:b/>
          <w:bCs/>
          <w:sz w:val="24"/>
          <w:szCs w:val="24"/>
        </w:rPr>
        <w:t>Etapa a IV-a</w:t>
      </w:r>
      <w:r w:rsidRPr="00C71BC0">
        <w:rPr>
          <w:rFonts w:ascii="Times New Roman" w:hAnsi="Times New Roman" w:cs="Times New Roman"/>
          <w:sz w:val="24"/>
          <w:szCs w:val="24"/>
        </w:rPr>
        <w:t>: Aplicație, transfer (în această etapă se fac conexiuni între situațiile create în activitatea propusă și situațiile din viața de zi cu zi).</w:t>
      </w:r>
    </w:p>
    <w:p w:rsidR="009663EE" w:rsidRPr="00AC7495" w:rsidRDefault="009663EE" w:rsidP="009663EE">
      <w:pPr>
        <w:spacing w:line="360" w:lineRule="auto"/>
        <w:ind w:firstLine="720"/>
        <w:jc w:val="both"/>
        <w:rPr>
          <w:rFonts w:ascii="Times New Roman" w:hAnsi="Times New Roman" w:cs="Times New Roman"/>
          <w:sz w:val="24"/>
          <w:szCs w:val="24"/>
        </w:rPr>
      </w:pPr>
      <w:r w:rsidRPr="00AC7495">
        <w:rPr>
          <w:rFonts w:ascii="Times New Roman" w:hAnsi="Times New Roman" w:cs="Times New Roman"/>
          <w:sz w:val="24"/>
          <w:szCs w:val="24"/>
        </w:rPr>
        <w:t>Procesele de învățare sunt mai eficiente atunci când pornesc de la experiențe, fapt ce duce la interrelaționarea teoriei cu practica, copiii fiind încurajați să își dezvolte propriile forțe și talente personale care pot fi transpuse în viața reală. Cele mai întâlnite activități ale învățării experiențiale sunt:</w:t>
      </w:r>
    </w:p>
    <w:p w:rsidR="009663EE" w:rsidRPr="00AC7495" w:rsidRDefault="009663EE" w:rsidP="009663EE">
      <w:pPr>
        <w:numPr>
          <w:ilvl w:val="0"/>
          <w:numId w:val="1"/>
        </w:numPr>
        <w:spacing w:line="360" w:lineRule="auto"/>
        <w:jc w:val="both"/>
        <w:rPr>
          <w:rFonts w:ascii="Times New Roman" w:hAnsi="Times New Roman" w:cs="Times New Roman"/>
          <w:sz w:val="24"/>
          <w:szCs w:val="24"/>
        </w:rPr>
      </w:pPr>
      <w:r w:rsidRPr="00AC7495">
        <w:rPr>
          <w:rFonts w:ascii="Times New Roman" w:hAnsi="Times New Roman" w:cs="Times New Roman"/>
          <w:sz w:val="24"/>
          <w:szCs w:val="24"/>
        </w:rPr>
        <w:t>Activități în aer liber (pentru a face unele experimente cu propriile forțe);</w:t>
      </w:r>
    </w:p>
    <w:p w:rsidR="009663EE" w:rsidRPr="00AC7495" w:rsidRDefault="009663EE" w:rsidP="009663EE">
      <w:pPr>
        <w:numPr>
          <w:ilvl w:val="0"/>
          <w:numId w:val="1"/>
        </w:numPr>
        <w:spacing w:line="360" w:lineRule="auto"/>
        <w:jc w:val="both"/>
        <w:rPr>
          <w:rFonts w:ascii="Times New Roman" w:hAnsi="Times New Roman" w:cs="Times New Roman"/>
          <w:sz w:val="24"/>
          <w:szCs w:val="24"/>
        </w:rPr>
      </w:pPr>
      <w:r w:rsidRPr="00AC7495">
        <w:rPr>
          <w:rFonts w:ascii="Times New Roman" w:hAnsi="Times New Roman" w:cs="Times New Roman"/>
          <w:sz w:val="24"/>
          <w:szCs w:val="24"/>
        </w:rPr>
        <w:t>Discuții  pe teme diverse, legate de probleme morale sau sociale;</w:t>
      </w:r>
    </w:p>
    <w:p w:rsidR="009663EE" w:rsidRDefault="009663EE" w:rsidP="009663EE">
      <w:pPr>
        <w:numPr>
          <w:ilvl w:val="0"/>
          <w:numId w:val="1"/>
        </w:numPr>
        <w:spacing w:line="360" w:lineRule="auto"/>
        <w:jc w:val="both"/>
        <w:rPr>
          <w:rFonts w:ascii="Times New Roman" w:hAnsi="Times New Roman" w:cs="Times New Roman"/>
          <w:sz w:val="24"/>
          <w:szCs w:val="24"/>
        </w:rPr>
      </w:pPr>
      <w:r w:rsidRPr="00AC7495">
        <w:rPr>
          <w:rFonts w:ascii="Times New Roman" w:hAnsi="Times New Roman" w:cs="Times New Roman"/>
          <w:sz w:val="24"/>
          <w:szCs w:val="24"/>
        </w:rPr>
        <w:t>Role-play și simulări (ale situațiilor din viața reală);</w:t>
      </w:r>
    </w:p>
    <w:p w:rsidR="009663EE" w:rsidRDefault="009663EE" w:rsidP="009663EE">
      <w:pPr>
        <w:numPr>
          <w:ilvl w:val="0"/>
          <w:numId w:val="1"/>
        </w:numPr>
        <w:spacing w:line="360" w:lineRule="auto"/>
        <w:jc w:val="both"/>
        <w:rPr>
          <w:rFonts w:ascii="Times New Roman" w:hAnsi="Times New Roman" w:cs="Times New Roman"/>
          <w:sz w:val="24"/>
          <w:szCs w:val="24"/>
        </w:rPr>
      </w:pPr>
      <w:r w:rsidRPr="00D9549E">
        <w:rPr>
          <w:rFonts w:ascii="Times New Roman" w:hAnsi="Times New Roman" w:cs="Times New Roman"/>
          <w:sz w:val="24"/>
          <w:szCs w:val="24"/>
        </w:rPr>
        <w:t xml:space="preserve">Prezentări și proiecte bazate pe activități (analiza experimentelor, filmelor sau videoclipurilor). </w:t>
      </w:r>
    </w:p>
    <w:p w:rsidR="009663EE" w:rsidRPr="00C2139E" w:rsidRDefault="009663EE" w:rsidP="009663EE">
      <w:pPr>
        <w:numPr>
          <w:ilvl w:val="0"/>
          <w:numId w:val="1"/>
        </w:numPr>
        <w:tabs>
          <w:tab w:val="clear" w:pos="720"/>
        </w:tabs>
        <w:spacing w:line="360" w:lineRule="auto"/>
        <w:jc w:val="both"/>
        <w:rPr>
          <w:rFonts w:ascii="Times New Roman" w:hAnsi="Times New Roman" w:cs="Times New Roman"/>
          <w:sz w:val="24"/>
          <w:szCs w:val="24"/>
        </w:rPr>
      </w:pPr>
      <w:r w:rsidRPr="00C2139E">
        <w:rPr>
          <w:rFonts w:ascii="Times New Roman" w:hAnsi="Times New Roman" w:cs="Times New Roman"/>
          <w:sz w:val="24"/>
          <w:szCs w:val="24"/>
        </w:rPr>
        <w:t>Jocul</w:t>
      </w:r>
    </w:p>
    <w:p w:rsidR="009663EE" w:rsidRPr="00AC7495" w:rsidRDefault="009663EE" w:rsidP="009663EE">
      <w:pPr>
        <w:spacing w:line="360" w:lineRule="auto"/>
        <w:ind w:firstLine="360"/>
        <w:jc w:val="both"/>
        <w:rPr>
          <w:rFonts w:ascii="Times New Roman" w:hAnsi="Times New Roman" w:cs="Times New Roman"/>
          <w:sz w:val="24"/>
          <w:szCs w:val="24"/>
        </w:rPr>
      </w:pPr>
      <w:r w:rsidRPr="00AC7495">
        <w:rPr>
          <w:rFonts w:ascii="Times New Roman" w:hAnsi="Times New Roman" w:cs="Times New Roman"/>
          <w:sz w:val="24"/>
          <w:szCs w:val="24"/>
        </w:rPr>
        <w:t xml:space="preserve">Jocul și povestirea au căpătat noi valențe, devenind metode ale învățării experiențiale. Educația experiențială aduce în prim-plan o abordare diferită față de teoriile clasice ale educației. </w:t>
      </w:r>
    </w:p>
    <w:p w:rsidR="009663EE" w:rsidRPr="00AC7495" w:rsidRDefault="009663EE" w:rsidP="009663EE">
      <w:pPr>
        <w:spacing w:line="360" w:lineRule="auto"/>
        <w:jc w:val="both"/>
        <w:rPr>
          <w:rFonts w:ascii="Times New Roman" w:hAnsi="Times New Roman" w:cs="Times New Roman"/>
          <w:sz w:val="24"/>
          <w:szCs w:val="24"/>
        </w:rPr>
      </w:pPr>
      <w:r w:rsidRPr="00AC7495">
        <w:rPr>
          <w:rFonts w:ascii="Times New Roman" w:hAnsi="Times New Roman" w:cs="Times New Roman"/>
          <w:sz w:val="24"/>
          <w:szCs w:val="24"/>
        </w:rPr>
        <w:tab/>
        <w:t xml:space="preserve">Pentru a conduce un joc în mod eficient, profesorul trebuie să-i facă pe participanții la joc să aibă încredere în el. Profesorul facilitator concepe jocul sau adaptează un joc având un anumit scop, un obiectiv de învățare. Rolul facilitatorului este acela de a ajuta elevii care participă la joc  să conceptualizeze experiențe, astfel încât să aibă date concrete pe baza </w:t>
      </w:r>
      <w:r w:rsidRPr="00AC7495">
        <w:rPr>
          <w:rFonts w:ascii="Times New Roman" w:hAnsi="Times New Roman" w:cs="Times New Roman"/>
          <w:sz w:val="24"/>
          <w:szCs w:val="24"/>
        </w:rPr>
        <w:lastRenderedPageBreak/>
        <w:t>cărora să tragă concluzii și să generalizeze. Fără reflecție nu putem învăța din experiență, trăim experiența și atât. De aceea, la finalul unui joc se realizează debrief-ul (momentul de reflecție). Pentru ca această metodă să devină o experienţă relevante de învăţare, este nevoie să urmăm cele 4 etape: etapa experimentării, a reflecţiei, a generalizării şi a transferului/aplicării.</w:t>
      </w:r>
    </w:p>
    <w:p w:rsidR="009663EE" w:rsidRPr="00AC7495" w:rsidRDefault="009663EE" w:rsidP="009663EE">
      <w:pPr>
        <w:spacing w:line="360" w:lineRule="auto"/>
        <w:jc w:val="both"/>
        <w:rPr>
          <w:rFonts w:ascii="Times New Roman" w:hAnsi="Times New Roman" w:cs="Times New Roman"/>
          <w:sz w:val="24"/>
          <w:szCs w:val="24"/>
        </w:rPr>
      </w:pPr>
      <w:r w:rsidRPr="00AC7495">
        <w:rPr>
          <w:rFonts w:ascii="Times New Roman" w:hAnsi="Times New Roman" w:cs="Times New Roman"/>
          <w:sz w:val="24"/>
          <w:szCs w:val="24"/>
        </w:rPr>
        <w:tab/>
        <w:t xml:space="preserve">Ȋn continuare aș dori </w:t>
      </w:r>
      <w:r>
        <w:rPr>
          <w:rFonts w:ascii="Times New Roman" w:hAnsi="Times New Roman" w:cs="Times New Roman"/>
          <w:sz w:val="24"/>
          <w:szCs w:val="24"/>
        </w:rPr>
        <w:t>să dau un exemplu</w:t>
      </w:r>
      <w:r w:rsidRPr="00AC7495">
        <w:rPr>
          <w:rFonts w:ascii="Times New Roman" w:hAnsi="Times New Roman" w:cs="Times New Roman"/>
          <w:sz w:val="24"/>
          <w:szCs w:val="24"/>
        </w:rPr>
        <w:t xml:space="preserve"> de astfel de jocuri:</w:t>
      </w:r>
    </w:p>
    <w:p w:rsidR="009663EE" w:rsidRPr="00AC7495" w:rsidRDefault="009663EE" w:rsidP="009663EE">
      <w:pPr>
        <w:spacing w:line="360" w:lineRule="auto"/>
        <w:jc w:val="both"/>
        <w:rPr>
          <w:rFonts w:ascii="Times New Roman" w:hAnsi="Times New Roman" w:cs="Times New Roman"/>
          <w:b/>
          <w:sz w:val="24"/>
          <w:szCs w:val="24"/>
          <w:lang w:val="it-IT"/>
        </w:rPr>
      </w:pPr>
      <w:r w:rsidRPr="00AC7495">
        <w:rPr>
          <w:rFonts w:ascii="Times New Roman" w:hAnsi="Times New Roman" w:cs="Times New Roman"/>
          <w:b/>
          <w:sz w:val="24"/>
          <w:szCs w:val="24"/>
          <w:lang w:val="it-IT"/>
        </w:rPr>
        <w:t>Jocul 1: Faţa mea</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bCs/>
          <w:i/>
          <w:sz w:val="24"/>
          <w:szCs w:val="24"/>
          <w:lang w:val="it-IT"/>
        </w:rPr>
        <w:t>Utilizare:</w:t>
      </w:r>
      <w:r w:rsidRPr="00AC7495">
        <w:rPr>
          <w:rFonts w:ascii="Times New Roman" w:hAnsi="Times New Roman" w:cs="Times New Roman"/>
          <w:bCs/>
          <w:sz w:val="24"/>
          <w:szCs w:val="24"/>
          <w:lang w:val="it-IT"/>
        </w:rPr>
        <w:t xml:space="preserve"> </w:t>
      </w:r>
      <w:r w:rsidRPr="00AC7495">
        <w:rPr>
          <w:rFonts w:ascii="Times New Roman" w:hAnsi="Times New Roman" w:cs="Times New Roman"/>
          <w:sz w:val="24"/>
          <w:szCs w:val="24"/>
          <w:lang w:val="it-IT"/>
        </w:rPr>
        <w:t>Această activitate este binevenită pentru elevii care au greutăţi în exprimarea propriilor sentimente, trec prin perioade de schimbare cărora le fac faţă cu greu etc. Este si o modalitate de a cunoaşte si reţine numele celorlalţi elevi.</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b/>
          <w:bCs/>
          <w:i/>
          <w:sz w:val="24"/>
          <w:szCs w:val="24"/>
          <w:lang w:val="it-IT"/>
        </w:rPr>
        <w:t>Pregătire</w:t>
      </w:r>
      <w:r w:rsidRPr="00AC7495">
        <w:rPr>
          <w:rFonts w:ascii="Times New Roman" w:hAnsi="Times New Roman" w:cs="Times New Roman"/>
          <w:b/>
          <w:i/>
          <w:sz w:val="24"/>
          <w:szCs w:val="24"/>
          <w:lang w:val="it-IT"/>
        </w:rPr>
        <w:t>:</w:t>
      </w:r>
      <w:r w:rsidRPr="00AC7495">
        <w:rPr>
          <w:rFonts w:ascii="Times New Roman" w:hAnsi="Times New Roman" w:cs="Times New Roman"/>
          <w:sz w:val="24"/>
          <w:szCs w:val="24"/>
          <w:lang w:val="it-IT"/>
        </w:rPr>
        <w:t xml:space="preserve"> Se deseneaza pe foi A4 feţe cu stări emoţionale diferite (supărare, uimire, mirare, tristeţe, mânie, bucurie, fericire etc.), câte 1 faţă/foaie. Dacă nu aveţi talent la desen, nu este nimic, pe net găsiţi numeroase resurse care să vă ajute în această sarcină. Se recomandă ca feţele să fie atât de sex feminin cât si de sex masculin (ca sa fie gender correctly si nediscriminativ).</w:t>
      </w:r>
    </w:p>
    <w:p w:rsidR="009663EE" w:rsidRPr="00AC7495" w:rsidRDefault="009663EE" w:rsidP="009663EE">
      <w:pPr>
        <w:spacing w:line="360" w:lineRule="auto"/>
        <w:jc w:val="both"/>
        <w:rPr>
          <w:rFonts w:ascii="Times New Roman" w:hAnsi="Times New Roman" w:cs="Times New Roman"/>
          <w:b/>
          <w:i/>
          <w:sz w:val="24"/>
          <w:szCs w:val="24"/>
          <w:lang w:val="it-IT"/>
        </w:rPr>
      </w:pPr>
      <w:r w:rsidRPr="00AC7495">
        <w:rPr>
          <w:rFonts w:ascii="Times New Roman" w:hAnsi="Times New Roman" w:cs="Times New Roman"/>
          <w:b/>
          <w:bCs/>
          <w:i/>
          <w:sz w:val="24"/>
          <w:szCs w:val="24"/>
          <w:lang w:val="it-IT"/>
        </w:rPr>
        <w:t>Pași (implementare):</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1. Spune elevilor să se uite la toate feţele şi să identifice una care le caracterizează cel mai bine starea de spirit şi să justifice alegerea făcută.</w:t>
      </w:r>
    </w:p>
    <w:p w:rsidR="009663EE" w:rsidRPr="00AC7495" w:rsidRDefault="009663EE" w:rsidP="009663EE">
      <w:pPr>
        <w:spacing w:line="24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2. Elevii îşi vor nota numele pe un cartonaş adeziv (post-it).</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3. Apoi să se ridice de la masa de lucru şi să-şi lipească numele în dreptul foii care îi caracterizează cel mai bine starea sufletească.</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4. După ce toţi elevii şi-au lipit cartonaşele au posibilitatea să-şi spună numele în plen şi motivul din spatele sentimentului – de exemplu “Numele meu este…si sunt…deoarece…”. Este de preferat să se înceapă cu cei care au sentimente mai negative (tristeţe, supărare, mâhnire etc.)  şi să se încheie cu cei care au sentimente pozitive (bucurie, fericire, relaxare etc.)  – pentru că începutul jocului să fie într-un ton optimist.</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 In timpul jocului – ca activitate de prezentare – se poate face apel la cartonaşele cu feţe  – expresia feţei ca modalitate non-verbală de comunicare a mesajelor.</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 La sfârşitul jocului – ca activitate de evaluare:</w:t>
      </w:r>
    </w:p>
    <w:p w:rsidR="009663EE"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lastRenderedPageBreak/>
        <w:t>Spune elevilor să reflecte la cele întâmplate în timpul sesiunii.</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it-IT"/>
        </w:rPr>
        <w:t>Spune elevilor să privească la peretele cu feţe unde şi-au pus numele la începutul jocului şi să mute  – dacă este cazul – numele în dreptul feţei care le descrie în acest moment starea sufletească.</w:t>
      </w:r>
    </w:p>
    <w:p w:rsidR="009663EE" w:rsidRPr="00AC7495" w:rsidRDefault="009663EE" w:rsidP="009663EE">
      <w:pPr>
        <w:spacing w:line="360" w:lineRule="auto"/>
        <w:jc w:val="both"/>
        <w:rPr>
          <w:rFonts w:ascii="Times New Roman" w:hAnsi="Times New Roman" w:cs="Times New Roman"/>
          <w:sz w:val="24"/>
          <w:szCs w:val="24"/>
          <w:lang w:val="it-IT"/>
        </w:rPr>
      </w:pPr>
      <w:r w:rsidRPr="00AC7495">
        <w:rPr>
          <w:rFonts w:ascii="Times New Roman" w:hAnsi="Times New Roman" w:cs="Times New Roman"/>
          <w:b/>
          <w:bCs/>
          <w:i/>
          <w:sz w:val="24"/>
          <w:szCs w:val="24"/>
          <w:lang w:val="it-IT"/>
        </w:rPr>
        <w:t>Resurse:</w:t>
      </w:r>
      <w:r w:rsidRPr="00AC7495">
        <w:rPr>
          <w:rFonts w:ascii="Times New Roman" w:hAnsi="Times New Roman" w:cs="Times New Roman"/>
          <w:sz w:val="24"/>
          <w:szCs w:val="24"/>
          <w:lang w:val="it-IT"/>
        </w:rPr>
        <w:t xml:space="preserve"> perete de prezentare, foi A4 cu feţe cu stări emoţionale diferite, cartonaşe adezive (post-it), markere</w:t>
      </w:r>
    </w:p>
    <w:p w:rsidR="009663EE" w:rsidRPr="00AC7495" w:rsidRDefault="009663EE" w:rsidP="009663EE">
      <w:pPr>
        <w:spacing w:line="240" w:lineRule="auto"/>
        <w:jc w:val="both"/>
        <w:rPr>
          <w:rFonts w:ascii="Times New Roman" w:hAnsi="Times New Roman" w:cs="Times New Roman"/>
          <w:i/>
          <w:sz w:val="24"/>
          <w:szCs w:val="24"/>
          <w:lang w:val="it-IT"/>
        </w:rPr>
      </w:pPr>
      <w:r w:rsidRPr="00AC7495">
        <w:rPr>
          <w:rFonts w:ascii="Times New Roman" w:hAnsi="Times New Roman" w:cs="Times New Roman"/>
          <w:b/>
          <w:bCs/>
          <w:i/>
          <w:sz w:val="24"/>
          <w:szCs w:val="24"/>
          <w:lang w:val="it-IT"/>
        </w:rPr>
        <w:t>Exemplu:</w:t>
      </w:r>
      <w:r w:rsidRPr="00F44F31">
        <w:rPr>
          <w:rFonts w:ascii="Times New Roman" w:hAnsi="Times New Roman" w:cs="Times New Roman"/>
          <w:noProof/>
          <w:sz w:val="24"/>
          <w:szCs w:val="24"/>
          <w:lang w:eastAsia="en-GB"/>
        </w:rPr>
        <w:t xml:space="preserve"> </w:t>
      </w:r>
      <w:r w:rsidRPr="00AC7495">
        <w:rPr>
          <w:rFonts w:ascii="Times New Roman" w:hAnsi="Times New Roman" w:cs="Times New Roman"/>
          <w:noProof/>
          <w:sz w:val="24"/>
          <w:szCs w:val="24"/>
          <w:lang w:eastAsia="en-GB"/>
        </w:rPr>
        <w:drawing>
          <wp:inline distT="0" distB="0" distL="0" distR="0" wp14:anchorId="3BA6B522" wp14:editId="057FBD59">
            <wp:extent cx="1428750" cy="1076325"/>
            <wp:effectExtent l="0" t="0" r="0" b="9525"/>
            <wp:docPr id="1" name="Picture 1" descr="Fete - inceputul sesiuni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te - inceputul sesiunii">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r w:rsidRPr="00AC7495">
        <w:rPr>
          <w:rFonts w:ascii="Times New Roman" w:hAnsi="Times New Roman" w:cs="Times New Roman"/>
          <w:noProof/>
          <w:sz w:val="24"/>
          <w:szCs w:val="24"/>
          <w:lang w:eastAsia="en-GB"/>
        </w:rPr>
        <w:drawing>
          <wp:inline distT="0" distB="0" distL="0" distR="0" wp14:anchorId="108FAEFD" wp14:editId="7338E777">
            <wp:extent cx="1350964" cy="974165"/>
            <wp:effectExtent l="0" t="0" r="1905" b="0"/>
            <wp:docPr id="2" name="Picture 2" descr="Fete - sfarsitul sesiunii (evaluar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te - sfarsitul sesiunii (evaluare)">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88" cy="975336"/>
                    </a:xfrm>
                    <a:prstGeom prst="rect">
                      <a:avLst/>
                    </a:prstGeom>
                    <a:noFill/>
                    <a:ln>
                      <a:noFill/>
                    </a:ln>
                  </pic:spPr>
                </pic:pic>
              </a:graphicData>
            </a:graphic>
          </wp:inline>
        </w:drawing>
      </w:r>
    </w:p>
    <w:p w:rsidR="009663EE" w:rsidRPr="00AC7495" w:rsidRDefault="009663EE" w:rsidP="009663EE">
      <w:pPr>
        <w:spacing w:line="240" w:lineRule="auto"/>
        <w:jc w:val="both"/>
        <w:rPr>
          <w:rFonts w:ascii="Times New Roman" w:hAnsi="Times New Roman" w:cs="Times New Roman"/>
          <w:sz w:val="24"/>
          <w:szCs w:val="24"/>
          <w:lang w:val="it-IT"/>
        </w:rPr>
      </w:pPr>
      <w:r w:rsidRPr="00AC7495">
        <w:rPr>
          <w:rFonts w:ascii="Times New Roman" w:hAnsi="Times New Roman" w:cs="Times New Roman"/>
          <w:sz w:val="24"/>
          <w:szCs w:val="24"/>
          <w:lang w:val="ro-RO"/>
        </w:rPr>
        <w:t xml:space="preserve">                                                                                                                         </w:t>
      </w:r>
    </w:p>
    <w:p w:rsidR="009663EE" w:rsidRPr="00AC7495" w:rsidRDefault="009663EE" w:rsidP="009663EE">
      <w:pPr>
        <w:spacing w:line="360" w:lineRule="auto"/>
        <w:ind w:firstLine="720"/>
        <w:jc w:val="both"/>
        <w:rPr>
          <w:rFonts w:ascii="Times New Roman" w:hAnsi="Times New Roman" w:cs="Times New Roman"/>
          <w:b/>
          <w:bCs/>
          <w:sz w:val="24"/>
          <w:szCs w:val="24"/>
          <w:lang w:val="ro-RO"/>
        </w:rPr>
      </w:pPr>
      <w:r w:rsidRPr="00AC7495">
        <w:rPr>
          <w:rFonts w:ascii="Times New Roman" w:hAnsi="Times New Roman" w:cs="Times New Roman"/>
          <w:sz w:val="24"/>
          <w:szCs w:val="24"/>
          <w:lang w:val="ro-RO"/>
        </w:rPr>
        <w:t>Se va lucra individual și în echipă, așadar </w:t>
      </w:r>
      <w:r w:rsidRPr="00AC7495">
        <w:rPr>
          <w:rFonts w:ascii="Times New Roman" w:hAnsi="Times New Roman" w:cs="Times New Roman"/>
          <w:bCs/>
          <w:i/>
          <w:iCs/>
          <w:sz w:val="24"/>
          <w:szCs w:val="24"/>
          <w:lang w:val="ro-RO"/>
        </w:rPr>
        <w:t> </w:t>
      </w:r>
      <w:r w:rsidRPr="00AC7495">
        <w:rPr>
          <w:rFonts w:ascii="Times New Roman" w:hAnsi="Times New Roman" w:cs="Times New Roman"/>
          <w:bCs/>
          <w:sz w:val="24"/>
          <w:szCs w:val="24"/>
          <w:lang w:val="ro-RO"/>
        </w:rPr>
        <w:t>elevii  învață să colaboreze mai bine, să aibă încredere în ceilalți și să își sporească încrederea în ei înșiși.</w:t>
      </w:r>
      <w:r w:rsidRPr="00AC7495">
        <w:rPr>
          <w:rFonts w:ascii="Times New Roman" w:hAnsi="Times New Roman" w:cs="Times New Roman"/>
          <w:b/>
          <w:bCs/>
          <w:sz w:val="24"/>
          <w:szCs w:val="24"/>
          <w:lang w:val="ro-RO"/>
        </w:rPr>
        <w:t xml:space="preserve"> </w:t>
      </w:r>
    </w:p>
    <w:p w:rsidR="009663EE" w:rsidRPr="00AC7495" w:rsidRDefault="009663EE" w:rsidP="009663EE">
      <w:pPr>
        <w:spacing w:line="360" w:lineRule="auto"/>
        <w:ind w:firstLine="720"/>
        <w:jc w:val="both"/>
        <w:rPr>
          <w:rFonts w:ascii="Times New Roman" w:hAnsi="Times New Roman" w:cs="Times New Roman"/>
          <w:bCs/>
          <w:sz w:val="24"/>
          <w:szCs w:val="24"/>
          <w:lang w:val="ro-RO"/>
        </w:rPr>
      </w:pPr>
      <w:r w:rsidRPr="00AC7495">
        <w:rPr>
          <w:rFonts w:ascii="Times New Roman" w:hAnsi="Times New Roman" w:cs="Times New Roman"/>
          <w:bCs/>
          <w:sz w:val="24"/>
          <w:szCs w:val="24"/>
        </w:rPr>
        <w:t>Putem spune că jocurile reprezintă învățarea bazată pe acțiune, Când elevii participă la propria lor experiență de învățare, ei învață mai eficient și sunt mai implicați decât în alte activități. Pentru ca elevii să se implice în jocurile propuse de cadrul didactic, în procesarea experiențelor, în discuții generate de povești ori în evaluarea proiectelor, ei trebuie să realizeze sensul. Când ei înțeleg sensul se implică și învață. De aceea, a facilita învățarea cu succes e un proces condiționat de capacitatea fiecărui profesor de a da sens tuturor activităților.</w:t>
      </w:r>
    </w:p>
    <w:p w:rsidR="009663EE" w:rsidRDefault="009663EE" w:rsidP="009663EE">
      <w:pPr>
        <w:jc w:val="both"/>
        <w:rPr>
          <w:rFonts w:ascii="Times New Roman" w:hAnsi="Times New Roman" w:cs="Times New Roman"/>
          <w:sz w:val="24"/>
          <w:szCs w:val="24"/>
        </w:rPr>
      </w:pPr>
    </w:p>
    <w:p w:rsidR="009663EE" w:rsidRDefault="009663EE" w:rsidP="009663EE">
      <w:pPr>
        <w:spacing w:line="360" w:lineRule="auto"/>
        <w:jc w:val="both"/>
        <w:rPr>
          <w:rFonts w:ascii="Times New Roman" w:hAnsi="Times New Roman" w:cs="Times New Roman"/>
          <w:sz w:val="24"/>
          <w:szCs w:val="24"/>
        </w:rPr>
      </w:pPr>
      <w:r w:rsidRPr="00C71BC0">
        <w:rPr>
          <w:rFonts w:ascii="Times New Roman" w:hAnsi="Times New Roman" w:cs="Times New Roman"/>
          <w:b/>
          <w:bCs/>
          <w:i/>
          <w:iCs/>
          <w:sz w:val="24"/>
          <w:szCs w:val="24"/>
        </w:rPr>
        <w:t>Bibliografie:</w:t>
      </w:r>
      <w:r w:rsidRPr="00C71BC0">
        <w:rPr>
          <w:rFonts w:ascii="Times New Roman" w:hAnsi="Times New Roman" w:cs="Times New Roman"/>
          <w:sz w:val="24"/>
          <w:szCs w:val="24"/>
        </w:rPr>
        <w:br/>
        <w:t>1. Borbe, Laura, Butyka Maria, Pogăcean Sorana, Strategii ale învățării experiențiale, suport de curs, Fundația Noi Orizonturi.</w:t>
      </w:r>
    </w:p>
    <w:p w:rsidR="009663EE" w:rsidRPr="008F5DA1" w:rsidRDefault="009663EE" w:rsidP="009663E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71BC0">
        <w:rPr>
          <w:rFonts w:ascii="Times New Roman" w:hAnsi="Times New Roman" w:cs="Times New Roman"/>
          <w:sz w:val="24"/>
          <w:szCs w:val="24"/>
        </w:rPr>
        <w:t>Kolb, David A. Învățarea experientială: experiența ca sursă de învățare și dezvoltare. Pearson Education, 2015.</w:t>
      </w:r>
    </w:p>
    <w:p w:rsidR="005D0770" w:rsidRDefault="005D0770"/>
    <w:sectPr w:rsidR="005D07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BE58B8"/>
    <w:multiLevelType w:val="multilevel"/>
    <w:tmpl w:val="911429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3826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EE"/>
    <w:rsid w:val="0007667C"/>
    <w:rsid w:val="001F1860"/>
    <w:rsid w:val="005D0770"/>
    <w:rsid w:val="006612B0"/>
    <w:rsid w:val="0096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0635F-5855-4C33-937D-2EB5A3173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3E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9663E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66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corneliagavril.wordpress.com/2009/01/08/activitate-fata-mea-warm-upcunoastere-pr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Negutu</dc:creator>
  <cp:keywords/>
  <dc:description/>
  <cp:lastModifiedBy>Marilena Dobre</cp:lastModifiedBy>
  <cp:revision>2</cp:revision>
  <dcterms:created xsi:type="dcterms:W3CDTF">2024-06-28T17:53:00Z</dcterms:created>
  <dcterms:modified xsi:type="dcterms:W3CDTF">2024-06-28T17:53:00Z</dcterms:modified>
</cp:coreProperties>
</file>