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E0075C" w14:textId="77777777" w:rsidR="002351B8" w:rsidRDefault="002351B8" w:rsidP="00931A8C">
      <w:pPr>
        <w:tabs>
          <w:tab w:val="left" w:pos="900"/>
        </w:tabs>
        <w:spacing w:line="360" w:lineRule="auto"/>
        <w:jc w:val="center"/>
        <w:rPr>
          <w:b/>
          <w:lang w:val="ro-RO" w:eastAsia="ro-RO"/>
        </w:rPr>
      </w:pPr>
      <w:r w:rsidRPr="004F0DB0">
        <w:rPr>
          <w:b/>
          <w:lang w:val="ro-RO" w:eastAsia="ro-RO"/>
        </w:rPr>
        <w:t>O privire de ansamblu asupra contribuţiei lui Popper în filosofia ştiinţei</w:t>
      </w:r>
    </w:p>
    <w:p w14:paraId="6B0A3BFA" w14:textId="77777777" w:rsidR="008A77FE" w:rsidRDefault="008A77FE" w:rsidP="00931A8C">
      <w:pPr>
        <w:tabs>
          <w:tab w:val="left" w:pos="900"/>
        </w:tabs>
        <w:spacing w:line="360" w:lineRule="auto"/>
        <w:jc w:val="center"/>
        <w:rPr>
          <w:b/>
          <w:lang w:val="ro-RO" w:eastAsia="ro-RO"/>
        </w:rPr>
      </w:pPr>
    </w:p>
    <w:p w14:paraId="7F06897E" w14:textId="2B1C3676" w:rsidR="008A77FE" w:rsidRPr="008A77FE" w:rsidRDefault="008A77FE" w:rsidP="008A77FE">
      <w:pPr>
        <w:tabs>
          <w:tab w:val="left" w:pos="900"/>
        </w:tabs>
        <w:spacing w:line="360" w:lineRule="auto"/>
        <w:jc w:val="right"/>
        <w:rPr>
          <w:bCs/>
          <w:lang w:val="ro-RO" w:eastAsia="ro-RO"/>
        </w:rPr>
      </w:pPr>
      <w:r w:rsidRPr="008A77FE">
        <w:rPr>
          <w:bCs/>
          <w:lang w:val="ro-RO" w:eastAsia="ro-RO"/>
        </w:rPr>
        <w:t>Sandu Mirela</w:t>
      </w:r>
    </w:p>
    <w:p w14:paraId="744E611B" w14:textId="6851A74F" w:rsidR="008A77FE" w:rsidRPr="008A77FE" w:rsidRDefault="008A77FE" w:rsidP="008A77FE">
      <w:pPr>
        <w:tabs>
          <w:tab w:val="left" w:pos="900"/>
        </w:tabs>
        <w:spacing w:line="360" w:lineRule="auto"/>
        <w:jc w:val="right"/>
        <w:rPr>
          <w:bCs/>
          <w:lang w:val="ro-RO" w:eastAsia="ro-RO"/>
        </w:rPr>
      </w:pPr>
      <w:r w:rsidRPr="008A77FE">
        <w:rPr>
          <w:bCs/>
          <w:lang w:val="ro-RO" w:eastAsia="ro-RO"/>
        </w:rPr>
        <w:t xml:space="preserve">Colegiul Național Catolic </w:t>
      </w:r>
      <w:r w:rsidRPr="008A77FE">
        <w:rPr>
          <w:bCs/>
          <w:lang w:eastAsia="ro-RO"/>
        </w:rPr>
        <w:t>“</w:t>
      </w:r>
      <w:r w:rsidRPr="008A77FE">
        <w:rPr>
          <w:bCs/>
          <w:lang w:val="ro-RO" w:eastAsia="ro-RO"/>
        </w:rPr>
        <w:t>Sf. Iosif” Bacău</w:t>
      </w:r>
    </w:p>
    <w:p w14:paraId="168761E4" w14:textId="77777777" w:rsidR="002351B8" w:rsidRDefault="002351B8" w:rsidP="00931A8C">
      <w:pPr>
        <w:tabs>
          <w:tab w:val="left" w:pos="900"/>
        </w:tabs>
        <w:spacing w:line="360" w:lineRule="auto"/>
        <w:jc w:val="both"/>
        <w:rPr>
          <w:lang w:val="ro-RO" w:eastAsia="ro-RO"/>
        </w:rPr>
      </w:pPr>
    </w:p>
    <w:p w14:paraId="719F5525" w14:textId="0DBCB92F" w:rsidR="002351B8" w:rsidRPr="002B6E14" w:rsidRDefault="002351B8" w:rsidP="00931A8C">
      <w:pPr>
        <w:tabs>
          <w:tab w:val="left" w:pos="900"/>
        </w:tabs>
        <w:spacing w:line="360" w:lineRule="auto"/>
        <w:jc w:val="both"/>
        <w:rPr>
          <w:lang w:val="ro-RO" w:eastAsia="ro-RO"/>
        </w:rPr>
      </w:pPr>
      <w:r>
        <w:rPr>
          <w:lang w:val="ro-RO" w:eastAsia="ro-RO"/>
        </w:rPr>
        <w:t xml:space="preserve">Cei care predau filosofie la clasele a XIIa de liceu știu că </w:t>
      </w:r>
      <w:r w:rsidR="00931A8C">
        <w:rPr>
          <w:lang w:val="ro-RO" w:eastAsia="ro-RO"/>
        </w:rPr>
        <w:t xml:space="preserve"> în capitolul </w:t>
      </w:r>
      <w:r w:rsidR="00931A8C">
        <w:rPr>
          <w:lang w:eastAsia="ro-RO"/>
        </w:rPr>
        <w:t>“</w:t>
      </w:r>
      <w:r w:rsidR="00931A8C">
        <w:rPr>
          <w:lang w:val="ro-RO" w:eastAsia="ro-RO"/>
        </w:rPr>
        <w:t xml:space="preserve">Cunoașterea” </w:t>
      </w:r>
      <w:r>
        <w:rPr>
          <w:lang w:val="ro-RO" w:eastAsia="ro-RO"/>
        </w:rPr>
        <w:t>un autor imp</w:t>
      </w:r>
      <w:r w:rsidR="00931A8C">
        <w:rPr>
          <w:lang w:val="ro-RO" w:eastAsia="ro-RO"/>
        </w:rPr>
        <w:t>ortant în modelarea minții umane pentru înțelegerea conceptelor de adevăr și cunoaștere este Karl Po</w:t>
      </w:r>
      <w:r w:rsidR="00955F66">
        <w:rPr>
          <w:lang w:val="ro-RO" w:eastAsia="ro-RO"/>
        </w:rPr>
        <w:t xml:space="preserve">pper. </w:t>
      </w:r>
      <w:r w:rsidRPr="002B6E14">
        <w:rPr>
          <w:lang w:val="ro-RO" w:eastAsia="ro-RO"/>
        </w:rPr>
        <w:tab/>
      </w:r>
    </w:p>
    <w:p w14:paraId="7111ADB5" w14:textId="4A8F51B0" w:rsidR="002351B8" w:rsidRPr="00AD430E" w:rsidRDefault="002351B8" w:rsidP="00955F66">
      <w:pPr>
        <w:autoSpaceDE w:val="0"/>
        <w:autoSpaceDN w:val="0"/>
        <w:adjustRightInd w:val="0"/>
        <w:spacing w:line="360" w:lineRule="auto"/>
        <w:jc w:val="both"/>
        <w:rPr>
          <w:lang w:val="ro-RO"/>
        </w:rPr>
      </w:pPr>
      <w:r w:rsidRPr="002B6E14">
        <w:rPr>
          <w:lang w:val="ro-RO" w:eastAsia="ro-RO"/>
        </w:rPr>
        <w:tab/>
        <w:t>Deşi e cu totul neobişnuit  în filosofie să întâlneşti formule, în filosofia lui K. Popper o formulă este emblematică pentru concepţia sa: P1 –TT – EE - P2.</w:t>
      </w:r>
      <w:r w:rsidRPr="002B6E14">
        <w:rPr>
          <w:sz w:val="22"/>
          <w:szCs w:val="22"/>
          <w:lang w:val="ro-RO"/>
        </w:rPr>
        <w:t xml:space="preserve">  </w:t>
      </w:r>
      <w:r w:rsidRPr="002B6E14">
        <w:rPr>
          <w:lang w:val="ro-RO"/>
        </w:rPr>
        <w:t>K. Popper o explică</w:t>
      </w:r>
      <w:r w:rsidRPr="002B6E14">
        <w:rPr>
          <w:i/>
          <w:lang w:val="ro-RO"/>
        </w:rPr>
        <w:t xml:space="preserve">: </w:t>
      </w:r>
      <w:r>
        <w:rPr>
          <w:i/>
          <w:lang w:val="ro-RO"/>
        </w:rPr>
        <w:t>„</w:t>
      </w:r>
      <w:r w:rsidRPr="002B6E14">
        <w:rPr>
          <w:i/>
          <w:lang w:val="ro-RO"/>
        </w:rPr>
        <w:t xml:space="preserve">pornim de la o problemă, fie teoretică, fie practică, [P1] pe care încercăm s-o rezolvam prin producerea unei teorii ipotetice care constituie totodata solutia noastra ipotetica [TT]; aceasta este deci baza încercarii. </w:t>
      </w:r>
      <w:r w:rsidRPr="002B6E14">
        <w:rPr>
          <w:i/>
          <w:lang w:val="pt-BR"/>
        </w:rPr>
        <w:t>Apoi supunem teoria noastra testarii, încercând s-o</w:t>
      </w:r>
      <w:r w:rsidRPr="002B6E14">
        <w:rPr>
          <w:i/>
          <w:lang w:val="ro-RO"/>
        </w:rPr>
        <w:t xml:space="preserve"> </w:t>
      </w:r>
      <w:r w:rsidRPr="002B6E14">
        <w:rPr>
          <w:i/>
          <w:lang w:val="pt-BR"/>
        </w:rPr>
        <w:t>infirmam: aceasta este metoda critică a eliminării erorilor [EE]. Ca rezultat</w:t>
      </w:r>
      <w:r w:rsidRPr="002B6E14">
        <w:rPr>
          <w:i/>
          <w:lang w:val="ro-RO"/>
        </w:rPr>
        <w:t xml:space="preserve"> </w:t>
      </w:r>
      <w:r w:rsidRPr="002B6E14">
        <w:rPr>
          <w:i/>
          <w:lang w:val="pt-BR"/>
        </w:rPr>
        <w:t>al acestui întreg proces apare o nouă problemă, P2 (sau poate mai multe noi</w:t>
      </w:r>
      <w:r w:rsidRPr="002B6E14">
        <w:rPr>
          <w:i/>
          <w:lang w:val="ro-RO"/>
        </w:rPr>
        <w:t xml:space="preserve"> </w:t>
      </w:r>
      <w:r w:rsidRPr="002B6E14">
        <w:rPr>
          <w:i/>
          <w:lang w:val="pt-BR"/>
        </w:rPr>
        <w:t>probleme). Progresul realizat, echivalent cu cresterea cunoaşterii noastre,</w:t>
      </w:r>
      <w:r w:rsidRPr="002B6E14">
        <w:rPr>
          <w:i/>
          <w:lang w:val="ro-RO"/>
        </w:rPr>
        <w:t xml:space="preserve"> </w:t>
      </w:r>
      <w:r w:rsidRPr="002B6E14">
        <w:rPr>
          <w:i/>
          <w:lang w:val="pt-BR"/>
        </w:rPr>
        <w:t>poate fi de regulă estimat prin masurarea distantei dintre P1 si P2, dupa care</w:t>
      </w:r>
      <w:r w:rsidRPr="002B6E14">
        <w:rPr>
          <w:i/>
          <w:lang w:val="ro-RO"/>
        </w:rPr>
        <w:t xml:space="preserve"> </w:t>
      </w:r>
      <w:r w:rsidRPr="002B6E14">
        <w:rPr>
          <w:i/>
          <w:lang w:val="pt-BR"/>
        </w:rPr>
        <w:t>vom şti dacă am înregistrat vreun progres. Pe scurt, conform schemei</w:t>
      </w:r>
      <w:r w:rsidRPr="002B6E14">
        <w:rPr>
          <w:i/>
          <w:lang w:val="ro-RO"/>
        </w:rPr>
        <w:t xml:space="preserve"> </w:t>
      </w:r>
      <w:r w:rsidRPr="002B6E14">
        <w:rPr>
          <w:i/>
          <w:lang w:val="pt-BR"/>
        </w:rPr>
        <w:t>noastre, cunoşterea începe cu probleme si sfârseste (în masura în care ea</w:t>
      </w:r>
      <w:r w:rsidRPr="002B6E14">
        <w:rPr>
          <w:i/>
          <w:lang w:val="ro-RO"/>
        </w:rPr>
        <w:t xml:space="preserve"> </w:t>
      </w:r>
      <w:r w:rsidRPr="002B6E14">
        <w:rPr>
          <w:i/>
          <w:lang w:val="pt-BR"/>
        </w:rPr>
        <w:t>se sfârseste vreodata) cu probleme.”</w:t>
      </w:r>
      <w:r w:rsidRPr="002B6E14">
        <w:rPr>
          <w:rStyle w:val="Referinnotdesubsol"/>
          <w:i/>
          <w:lang w:val="pt-BR"/>
        </w:rPr>
        <w:footnoteReference w:id="1"/>
      </w:r>
      <w:r w:rsidRPr="002B6E14">
        <w:rPr>
          <w:lang w:val="ro-RO" w:eastAsia="ro-RO"/>
        </w:rPr>
        <w:t xml:space="preserve"> Această formulă reprezintă schema popperiană a cunoaşterii, iar semnificaţia literelor e următoarea : P1 – e problema mamă, TT- tentativa teoretică, EE- eliminarea erorilor, P2</w:t>
      </w:r>
      <w:r>
        <w:rPr>
          <w:lang w:val="ro-RO" w:eastAsia="ro-RO"/>
        </w:rPr>
        <w:t xml:space="preserve"> – problema fiică</w:t>
      </w:r>
      <w:r w:rsidRPr="002B6E14">
        <w:rPr>
          <w:lang w:val="ro-RO" w:eastAsia="ro-RO"/>
        </w:rPr>
        <w:t>.</w:t>
      </w:r>
      <w:r>
        <w:rPr>
          <w:lang w:val="ro-RO" w:eastAsia="ro-RO"/>
        </w:rPr>
        <w:t xml:space="preserve"> </w:t>
      </w:r>
      <w:r w:rsidRPr="002B6E14">
        <w:rPr>
          <w:lang w:val="ro-RO" w:eastAsia="ro-RO"/>
        </w:rPr>
        <w:t>Ce vrea să spună prin aceasta K.Popper? Că în cunoaştere nu există adevăruri de necontestat, verificate odată pentru totdeauna, că avem o problemă şi încercăm printr-o t</w:t>
      </w:r>
      <w:r>
        <w:rPr>
          <w:lang w:val="ro-RO" w:eastAsia="ro-RO"/>
        </w:rPr>
        <w:t>entativă teoretică să o lămurim</w:t>
      </w:r>
      <w:r w:rsidRPr="002B6E14">
        <w:rPr>
          <w:lang w:val="ro-RO" w:eastAsia="ro-RO"/>
        </w:rPr>
        <w:t>, prilej potrivit pentru a elimina erorile prin intermediul unor teste critice( falsificatoare)şi</w:t>
      </w:r>
      <w:r>
        <w:rPr>
          <w:lang w:val="ro-RO" w:eastAsia="ro-RO"/>
        </w:rPr>
        <w:t>,</w:t>
      </w:r>
      <w:r w:rsidRPr="002B6E14">
        <w:rPr>
          <w:lang w:val="ro-RO" w:eastAsia="ro-RO"/>
        </w:rPr>
        <w:t xml:space="preserve"> în final</w:t>
      </w:r>
      <w:r>
        <w:rPr>
          <w:lang w:val="ro-RO" w:eastAsia="ro-RO"/>
        </w:rPr>
        <w:t>,</w:t>
      </w:r>
      <w:r w:rsidRPr="002B6E14">
        <w:rPr>
          <w:lang w:val="ro-RO" w:eastAsia="ro-RO"/>
        </w:rPr>
        <w:t xml:space="preserve"> ajungem la o nouă problemă mai complexă decât prima, care va parcurge acelaşi traseu ca şi precedenta. Astfel, cunoaşterea e un proces continuu în care nu întâlnim „surse ultime” ca în</w:t>
      </w:r>
      <w:r>
        <w:rPr>
          <w:lang w:val="ro-RO" w:eastAsia="ro-RO"/>
        </w:rPr>
        <w:t xml:space="preserve"> analiza clasică</w:t>
      </w:r>
      <w:r w:rsidRPr="002B6E14">
        <w:rPr>
          <w:lang w:val="ro-RO" w:eastAsia="ro-RO"/>
        </w:rPr>
        <w:t>, nici un demers de genul întemeierii. Ştiinţa, ne spune Karl Popper, nu are nimic în comun cu goana despre certitudine. Orice teorie ştiinţifică este până la urmă respinsă în baza altor teorii mai complexe şi acestea vor avea la rândul lo</w:t>
      </w:r>
      <w:r>
        <w:rPr>
          <w:lang w:val="ro-RO" w:eastAsia="ro-RO"/>
        </w:rPr>
        <w:t>r aceeaşi soartă</w:t>
      </w:r>
      <w:r w:rsidRPr="002B6E14">
        <w:rPr>
          <w:lang w:val="ro-RO" w:eastAsia="ro-RO"/>
        </w:rPr>
        <w:t xml:space="preserve">; ceea ce înseamnă că nu vom fi niciodată siguri de adevărul unei teorii. Siguri putem fi doar de falsitatea unei teorii atunci când aceasta este respinsă pe baza unui test ştiinţific iar scopul unui om de ştiinţă ar trebui de aceea să </w:t>
      </w:r>
      <w:r w:rsidRPr="002B6E14">
        <w:rPr>
          <w:lang w:val="ro-RO" w:eastAsia="ro-RO"/>
        </w:rPr>
        <w:lastRenderedPageBreak/>
        <w:t xml:space="preserve">fie nu verificarea teoriei ci falsificarea ei. O asemenea concepţie despre cunoaştere e numită de Popper failibilistă. Prin „ failibilism” el înţelege </w:t>
      </w:r>
      <w:r>
        <w:rPr>
          <w:lang w:val="ro-RO" w:eastAsia="ro-RO"/>
        </w:rPr>
        <w:t>„</w:t>
      </w:r>
      <w:r w:rsidRPr="002B6E14">
        <w:rPr>
          <w:i/>
          <w:lang w:val="ro-RO" w:eastAsia="ro-RO"/>
        </w:rPr>
        <w:t>că e posibil să comitem erori şi ca strădania de a ajunge la certitudine( sau chiar şi la o mare probabilitate) este greşită. Aceasta nu implică însă că ar fi greşită şi căutarea adevărului. Dimpotrivă, ideea de eroare o presupune pe cea de adevăr, ca standard pe care e posibil să nu-l atingem. Ea presupune că, deşi avem posibilitatea de a-l descoperi ..niciodată nu putem avea certitudinea totală că l-am descoperit . Există întotdeauna posibilitatea erorii, deşi în cazul unor demonstraţii logice şi matematice această posibilitate poapoate fi considerată foarte mică”.</w:t>
      </w:r>
      <w:r w:rsidRPr="002B6E14">
        <w:rPr>
          <w:rStyle w:val="Referinnotdesubsol"/>
          <w:i/>
          <w:lang w:val="ro-RO" w:eastAsia="ro-RO"/>
        </w:rPr>
        <w:footnoteReference w:id="2"/>
      </w:r>
      <w:r w:rsidRPr="002B6E14">
        <w:rPr>
          <w:lang w:val="ro-RO" w:eastAsia="ro-RO"/>
        </w:rPr>
        <w:t xml:space="preserve">O teorie ce nu a fost încă falsificată capătă un grad de certitudine până în clipa în care un alt test o va infirma. Corpul ştiinţei este alcătuit din astfel de teorii care sunt falsificabile, dar care nu au putut fi încă falsificate. După cum se observă la K. Popper, ştiinţa este supusă greşelii întrucât e facută de oameni, dar greşeala are un rol pozitiv, pedagogic. Critica teoriilor noastre este demersul ce ne poate duce la un progres al cunoaşterii prin eliminarea erorilor. Aşa cum spuneam deja eroarea e pozitivă, căci uneori  ideile  proaste au inspirat de-a lungul istoriei multe idei bune. Un exemplu de acest fel este dat de Popper în conferinţa  </w:t>
      </w:r>
      <w:r w:rsidRPr="002B6E14">
        <w:rPr>
          <w:i/>
          <w:lang w:val="ro-RO" w:eastAsia="ro-RO"/>
        </w:rPr>
        <w:t>Despre sursele cunoaşterii şi ale ignoranţei</w:t>
      </w:r>
      <w:r>
        <w:rPr>
          <w:i/>
          <w:lang w:val="ro-RO" w:eastAsia="ro-RO"/>
        </w:rPr>
        <w:t>,</w:t>
      </w:r>
      <w:r w:rsidRPr="002B6E14">
        <w:rPr>
          <w:i/>
          <w:lang w:val="ro-RO" w:eastAsia="ro-RO"/>
        </w:rPr>
        <w:t xml:space="preserve"> </w:t>
      </w:r>
      <w:r w:rsidRPr="002B6E14">
        <w:rPr>
          <w:lang w:val="ro-RO" w:eastAsia="ro-RO"/>
        </w:rPr>
        <w:t>unde  îşi propune să rezolve disputa dintre empirismul clasic şi raţionalismul clasic,aratând că de fapt diferenţele dintre cele două curent</w:t>
      </w:r>
      <w:r>
        <w:rPr>
          <w:lang w:val="ro-RO" w:eastAsia="ro-RO"/>
        </w:rPr>
        <w:t xml:space="preserve">e  nu sunt atât de profunde şi </w:t>
      </w:r>
      <w:r w:rsidRPr="002B6E14">
        <w:rPr>
          <w:lang w:val="ro-RO" w:eastAsia="ro-RO"/>
        </w:rPr>
        <w:t>că ele  seamănă în mai multe privinţe:</w:t>
      </w:r>
      <w:r>
        <w:rPr>
          <w:lang w:val="ro-RO"/>
        </w:rPr>
        <w:t xml:space="preserve"> </w:t>
      </w:r>
      <w:r w:rsidRPr="002B6E14">
        <w:rPr>
          <w:lang w:val="ro-RO" w:eastAsia="ro-RO"/>
        </w:rPr>
        <w:t xml:space="preserve"> existenţa unei surse ultime pe care se poate întemeia cunoaşterea umană, considerarea acestor surse ca autorităţi epistemice, o epistemologia optimistă ce se referă la posibilitatea minţii umane de a ajunge la adevăr. Tocmai această epistemologie optimistă evidenţiată prin doctrina adevărului manifest şi care se  regăseşte  şi la Bacon şi la Descartes a  dat oamenilor încredere şi a inspirat alte idei pozitive: </w:t>
      </w:r>
      <w:r w:rsidRPr="002B6E14">
        <w:rPr>
          <w:i/>
          <w:lang w:val="ro-RO" w:eastAsia="ro-RO"/>
        </w:rPr>
        <w:t>„ ....această epistemologie greşită a fost principalul inspirator al unei revoluţii intelectuale şi morale fără egal în istorie. Ea i-a încurajat pe oameni să gândească cu propriul lor cap. Le-a insuflat speranţa că prin cunoaştere se pot elibera şi pot elibera şi pe alţii de robie şi suferinţă. Ea a făcut posibilă ştiinţa modernă. Ea a devenit baza conştiinţei non-conformiste, a individualismului şi a unui nou sentiment al demnităţii umane; a revendicării învăţământului generalizat şi a unei noi aspiraţii spre o societate liberă. Ea i-a făcut pe oameni să se simtă răspunzători pentru ei înşişi şi pentru alţi şi dornici să amelioreze nu numai propria lor condiţie, ci şi pe cea a semenilor lor. E un exemplu de idee proastă ce a inspirat multe idei bune</w:t>
      </w:r>
      <w:r w:rsidR="00955F66">
        <w:rPr>
          <w:i/>
          <w:lang w:val="ro-RO" w:eastAsia="ro-RO"/>
        </w:rPr>
        <w:t>.</w:t>
      </w:r>
      <w:r w:rsidR="00955F66" w:rsidRPr="002B6E14">
        <w:rPr>
          <w:lang w:val="ro-RO" w:eastAsia="ro-RO"/>
        </w:rPr>
        <w:t xml:space="preserve"> </w:t>
      </w:r>
      <w:r w:rsidRPr="002B6E14">
        <w:rPr>
          <w:lang w:val="ro-RO" w:eastAsia="ro-RO"/>
        </w:rPr>
        <w:t xml:space="preserve">Popper aduce importante clarificări în problema surselor cunoaşterii, contestând atât existenţa surselor cunoaşterii cât şi existenţa unui </w:t>
      </w:r>
      <w:r w:rsidRPr="002B6E14">
        <w:rPr>
          <w:lang w:val="ro-RO" w:eastAsia="ro-RO"/>
        </w:rPr>
        <w:lastRenderedPageBreak/>
        <w:t>demers de tipul întemeierii.</w:t>
      </w:r>
      <w:r w:rsidRPr="002B6E14">
        <w:rPr>
          <w:rStyle w:val="Referinnotdesubsol"/>
          <w:lang w:val="ro-RO" w:eastAsia="ro-RO"/>
        </w:rPr>
        <w:footnoteReference w:id="3"/>
      </w:r>
      <w:r w:rsidRPr="002B6E14">
        <w:rPr>
          <w:lang w:val="ro-RO" w:eastAsia="ro-RO"/>
        </w:rPr>
        <w:t xml:space="preserve"> Empirismul clasic, reprezentat de J.Locke, D. Hume, Fr. Bacon,  considera că adevarata sursă a cunoaşterii o reprezintă experienţa, cunoaştere</w:t>
      </w:r>
      <w:r>
        <w:rPr>
          <w:lang w:val="ro-RO" w:eastAsia="ro-RO"/>
        </w:rPr>
        <w:t xml:space="preserve">a nemijlocită dată de simţuri. </w:t>
      </w:r>
      <w:r w:rsidRPr="002B6E14">
        <w:rPr>
          <w:lang w:val="ro-RO" w:eastAsia="ro-RO"/>
        </w:rPr>
        <w:t xml:space="preserve">Raţionalismul clasic reprezentat de R.Descartes, B.Spinoza, G. Leibniz, a schimbat sursa cunoaşterii dar a păstrat în esenţă întrebarea- </w:t>
      </w:r>
      <w:r w:rsidRPr="00722392">
        <w:rPr>
          <w:i/>
          <w:lang w:val="ro-RO" w:eastAsia="ro-RO"/>
        </w:rPr>
        <w:t>Care este sursa cunoaşterii noastre</w:t>
      </w:r>
      <w:r w:rsidRPr="002B6E14">
        <w:rPr>
          <w:lang w:val="ro-RO" w:eastAsia="ro-RO"/>
        </w:rPr>
        <w:t>?- considerând raţiunea sursa cunoaşterii auten</w:t>
      </w:r>
      <w:r>
        <w:rPr>
          <w:lang w:val="ro-RO" w:eastAsia="ro-RO"/>
        </w:rPr>
        <w:t>tice. Dar, identificarea sursei</w:t>
      </w:r>
      <w:r w:rsidRPr="002B6E14">
        <w:rPr>
          <w:lang w:val="ro-RO" w:eastAsia="ro-RO"/>
        </w:rPr>
        <w:t>, observă K.Popper, presupune un răspuns de tip autoritar în privinţa valabilităţii cunoştinţelor noastre, fiind considerate certe doar cunoştinţele care pot fi verificate fie prin experienţă, fie prin raţiune. Răspunsul oferit de K.Popper are la bază principiul că totul e deschis criticii, nu există autorităţi care să certifice cunoaşterea noa</w:t>
      </w:r>
      <w:r>
        <w:rPr>
          <w:lang w:val="ro-RO" w:eastAsia="ro-RO"/>
        </w:rPr>
        <w:t>stră: orice sursă a cunoaşterii</w:t>
      </w:r>
      <w:r w:rsidRPr="002B6E14">
        <w:rPr>
          <w:lang w:val="ro-RO" w:eastAsia="ro-RO"/>
        </w:rPr>
        <w:t xml:space="preserve"> „</w:t>
      </w:r>
      <w:r w:rsidRPr="00AD430E">
        <w:rPr>
          <w:i/>
          <w:lang w:val="ro-RO" w:eastAsia="ro-RO"/>
        </w:rPr>
        <w:t>tradiţia, raţiunea, imaginaţia, observaţia</w:t>
      </w:r>
      <w:r w:rsidRPr="002B6E14">
        <w:rPr>
          <w:lang w:val="ro-RO" w:eastAsia="ro-RO"/>
        </w:rPr>
        <w:t>”poate fi folosită dar nici una nu are vreo autoritate</w:t>
      </w:r>
      <w:r w:rsidR="00955F66">
        <w:rPr>
          <w:lang w:val="ro-RO" w:eastAsia="ro-RO"/>
        </w:rPr>
        <w:t>. Ast</w:t>
      </w:r>
      <w:r w:rsidRPr="002B6E14">
        <w:rPr>
          <w:lang w:val="ro-RO" w:eastAsia="ro-RO"/>
        </w:rPr>
        <w:t>fel, orice sursă am avea ea poate să ne conducă la eroare, de aceea trebuie să înlocui</w:t>
      </w:r>
      <w:r>
        <w:rPr>
          <w:lang w:val="ro-RO" w:eastAsia="ro-RO"/>
        </w:rPr>
        <w:t>m</w:t>
      </w:r>
      <w:r w:rsidRPr="002B6E14">
        <w:rPr>
          <w:lang w:val="ro-RO" w:eastAsia="ro-RO"/>
        </w:rPr>
        <w:t xml:space="preserve"> întrebarea </w:t>
      </w:r>
      <w:r w:rsidRPr="002B6E14">
        <w:rPr>
          <w:i/>
          <w:lang w:val="ro-RO" w:eastAsia="ro-RO"/>
        </w:rPr>
        <w:t>„Care e sursa cunoaşterii: intelectul sau simţurile ?</w:t>
      </w:r>
      <w:r w:rsidRPr="002B6E14">
        <w:rPr>
          <w:lang w:val="ro-RO" w:eastAsia="ro-RO"/>
        </w:rPr>
        <w:t xml:space="preserve">” cu întrebarea </w:t>
      </w:r>
      <w:r w:rsidRPr="002B6E14">
        <w:rPr>
          <w:i/>
          <w:lang w:val="ro-RO" w:eastAsia="ro-RO"/>
        </w:rPr>
        <w:t>„Cum putem spera să detectăm şi să eliminăm eroarea?”</w:t>
      </w:r>
      <w:r w:rsidRPr="002B6E14">
        <w:rPr>
          <w:rStyle w:val="Referinnotdesubsol"/>
          <w:i/>
          <w:lang w:val="ro-RO" w:eastAsia="ro-RO"/>
        </w:rPr>
        <w:footnoteReference w:id="4"/>
      </w:r>
      <w:r w:rsidRPr="002B6E14">
        <w:rPr>
          <w:i/>
          <w:lang w:val="ro-RO" w:eastAsia="ro-RO"/>
        </w:rPr>
        <w:t>.</w:t>
      </w:r>
      <w:r w:rsidRPr="002B6E14">
        <w:rPr>
          <w:lang w:val="ro-RO" w:eastAsia="ro-RO"/>
        </w:rPr>
        <w:t xml:space="preserve"> Răspunsul propus de K.Popper este </w:t>
      </w:r>
      <w:r>
        <w:rPr>
          <w:i/>
          <w:lang w:val="ro-RO" w:eastAsia="ro-RO"/>
        </w:rPr>
        <w:t>„</w:t>
      </w:r>
      <w:r w:rsidRPr="002B6E14">
        <w:rPr>
          <w:i/>
          <w:lang w:val="ro-RO" w:eastAsia="ro-RO"/>
        </w:rPr>
        <w:t>Criticând teoriile sau conjecturile altora şi – dacă izbutim să ne formăm şi această deprindere- criticând propriile noastre teorii sau conjecturi”</w:t>
      </w:r>
      <w:r w:rsidRPr="002B6E14">
        <w:rPr>
          <w:rStyle w:val="Referinnotdesubsol"/>
          <w:i/>
          <w:lang w:val="ro-RO" w:eastAsia="ro-RO"/>
        </w:rPr>
        <w:footnoteReference w:id="5"/>
      </w:r>
      <w:r w:rsidRPr="002B6E14">
        <w:rPr>
          <w:i/>
          <w:lang w:val="ro-RO" w:eastAsia="ro-RO"/>
        </w:rPr>
        <w:t xml:space="preserve">. </w:t>
      </w:r>
      <w:r w:rsidRPr="002B6E14">
        <w:rPr>
          <w:lang w:val="ro-RO" w:eastAsia="ro-RO"/>
        </w:rPr>
        <w:t xml:space="preserve">În ultima parte a lucrării </w:t>
      </w:r>
      <w:r w:rsidRPr="002B6E14">
        <w:rPr>
          <w:i/>
          <w:lang w:val="ro-RO"/>
        </w:rPr>
        <w:t>Despre sursele cunoaşterii şi ale ignoranţe</w:t>
      </w:r>
      <w:r w:rsidRPr="002B6E14">
        <w:rPr>
          <w:lang w:val="ro-RO"/>
        </w:rPr>
        <w:t>i</w:t>
      </w:r>
      <w:r>
        <w:rPr>
          <w:lang w:val="ro-RO"/>
        </w:rPr>
        <w:t>,</w:t>
      </w:r>
      <w:r w:rsidRPr="002B6E14">
        <w:rPr>
          <w:lang w:val="ro-RO"/>
        </w:rPr>
        <w:t xml:space="preserve"> Popper prezintă raţionalismul critic sub forma a zece teze. Pe scurt , ele ar putea fi redate astfel: </w:t>
      </w:r>
    </w:p>
    <w:p w14:paraId="4E41EF71" w14:textId="77777777" w:rsidR="002351B8" w:rsidRPr="002B6E14" w:rsidRDefault="002351B8" w:rsidP="00931A8C">
      <w:pPr>
        <w:numPr>
          <w:ilvl w:val="0"/>
          <w:numId w:val="1"/>
        </w:numPr>
        <w:spacing w:line="360" w:lineRule="auto"/>
        <w:jc w:val="both"/>
        <w:rPr>
          <w:lang w:val="ro-RO" w:eastAsia="ro-RO"/>
        </w:rPr>
      </w:pPr>
      <w:r w:rsidRPr="002B6E14">
        <w:rPr>
          <w:lang w:val="ro-RO"/>
        </w:rPr>
        <w:t>nu există surse ultime ale cunoaşterii.</w:t>
      </w:r>
    </w:p>
    <w:p w14:paraId="528B9119" w14:textId="77777777" w:rsidR="002351B8" w:rsidRPr="002B6E14" w:rsidRDefault="002351B8" w:rsidP="00931A8C">
      <w:pPr>
        <w:numPr>
          <w:ilvl w:val="0"/>
          <w:numId w:val="1"/>
        </w:numPr>
        <w:spacing w:line="360" w:lineRule="auto"/>
        <w:jc w:val="both"/>
        <w:rPr>
          <w:lang w:val="ro-RO" w:eastAsia="ro-RO"/>
        </w:rPr>
      </w:pPr>
      <w:r w:rsidRPr="002B6E14">
        <w:rPr>
          <w:lang w:val="ro-RO"/>
        </w:rPr>
        <w:t>întrebarea ce trebuie pusă nu este cu privire la surse, ci dacă aserţiunea făcută este adevărată.</w:t>
      </w:r>
    </w:p>
    <w:p w14:paraId="4F4A5E1F" w14:textId="77777777" w:rsidR="002351B8" w:rsidRPr="002B6E14" w:rsidRDefault="002351B8" w:rsidP="00931A8C">
      <w:pPr>
        <w:numPr>
          <w:ilvl w:val="0"/>
          <w:numId w:val="1"/>
        </w:numPr>
        <w:spacing w:line="360" w:lineRule="auto"/>
        <w:jc w:val="both"/>
        <w:rPr>
          <w:lang w:val="ro-RO" w:eastAsia="ro-RO"/>
        </w:rPr>
      </w:pPr>
      <w:r w:rsidRPr="002B6E14">
        <w:rPr>
          <w:lang w:val="ro-RO"/>
        </w:rPr>
        <w:t>în cadrul unei examinări , se pot dovedi relevante argumente diverse.</w:t>
      </w:r>
    </w:p>
    <w:p w14:paraId="7309B6A2" w14:textId="77777777" w:rsidR="002351B8" w:rsidRPr="002B6E14" w:rsidRDefault="002351B8" w:rsidP="00931A8C">
      <w:pPr>
        <w:numPr>
          <w:ilvl w:val="0"/>
          <w:numId w:val="1"/>
        </w:numPr>
        <w:spacing w:line="360" w:lineRule="auto"/>
        <w:jc w:val="both"/>
        <w:rPr>
          <w:lang w:val="ro-RO" w:eastAsia="ro-RO"/>
        </w:rPr>
      </w:pPr>
      <w:r w:rsidRPr="002B6E14">
        <w:rPr>
          <w:lang w:val="ro-RO"/>
        </w:rPr>
        <w:t>cantitativ şi calitativ tradiţia este cea mai importantă sursă a cunoaşterii noastre</w:t>
      </w:r>
    </w:p>
    <w:p w14:paraId="56B049DB" w14:textId="77777777" w:rsidR="002351B8" w:rsidRPr="002B6E14" w:rsidRDefault="002351B8" w:rsidP="00931A8C">
      <w:pPr>
        <w:numPr>
          <w:ilvl w:val="0"/>
          <w:numId w:val="1"/>
        </w:numPr>
        <w:spacing w:line="360" w:lineRule="auto"/>
        <w:jc w:val="both"/>
        <w:rPr>
          <w:lang w:val="ro-RO" w:eastAsia="ro-RO"/>
        </w:rPr>
      </w:pPr>
      <w:r w:rsidRPr="002B6E14">
        <w:rPr>
          <w:lang w:val="ro-RO"/>
        </w:rPr>
        <w:t>orice aserţiune bazată pe tradiţie poate fio examinată critic şi răsturnată</w:t>
      </w:r>
    </w:p>
    <w:p w14:paraId="440E2AB4" w14:textId="77777777" w:rsidR="002351B8" w:rsidRPr="002B6E14" w:rsidRDefault="002351B8" w:rsidP="00931A8C">
      <w:pPr>
        <w:numPr>
          <w:ilvl w:val="0"/>
          <w:numId w:val="1"/>
        </w:numPr>
        <w:spacing w:line="360" w:lineRule="auto"/>
        <w:jc w:val="both"/>
        <w:rPr>
          <w:lang w:val="ro-RO" w:eastAsia="ro-RO"/>
        </w:rPr>
      </w:pPr>
      <w:r w:rsidRPr="002B6E14">
        <w:rPr>
          <w:lang w:val="ro-RO"/>
        </w:rPr>
        <w:t>cunoaşterea nu porneşte de la zero- de la o tabula rasa- şi nici de la observaţie. Progresul cunoaşterii constă în modificarea cunoaşterii enterioare.</w:t>
      </w:r>
    </w:p>
    <w:p w14:paraId="6E89148E" w14:textId="77777777" w:rsidR="002351B8" w:rsidRPr="002B6E14" w:rsidRDefault="002351B8" w:rsidP="00931A8C">
      <w:pPr>
        <w:numPr>
          <w:ilvl w:val="0"/>
          <w:numId w:val="1"/>
        </w:numPr>
        <w:spacing w:line="360" w:lineRule="auto"/>
        <w:jc w:val="both"/>
        <w:rPr>
          <w:lang w:val="ro-RO" w:eastAsia="ro-RO"/>
        </w:rPr>
      </w:pPr>
      <w:r w:rsidRPr="002B6E14">
        <w:rPr>
          <w:lang w:val="ro-RO"/>
        </w:rPr>
        <w:t>epistemologiile pesimiste şi cele optimiste sunt false în egală măsură.</w:t>
      </w:r>
    </w:p>
    <w:p w14:paraId="1BE66B46" w14:textId="77777777" w:rsidR="002351B8" w:rsidRPr="002B6E14" w:rsidRDefault="002351B8" w:rsidP="00931A8C">
      <w:pPr>
        <w:numPr>
          <w:ilvl w:val="0"/>
          <w:numId w:val="1"/>
        </w:numPr>
        <w:spacing w:line="360" w:lineRule="auto"/>
        <w:jc w:val="both"/>
        <w:rPr>
          <w:lang w:val="ro-RO" w:eastAsia="ro-RO"/>
        </w:rPr>
      </w:pPr>
      <w:r w:rsidRPr="002B6E14">
        <w:rPr>
          <w:lang w:val="ro-RO"/>
        </w:rPr>
        <w:t>nici observaţia, nici raţiunea nu sunt autorităţi; cea mai importantă funcţie a lor este de a ne ajuta în examinarea critică a acelor conjecturi îndrăzneţe ce sondează necunoscutul.</w:t>
      </w:r>
    </w:p>
    <w:p w14:paraId="71AE0E41" w14:textId="77777777" w:rsidR="002351B8" w:rsidRPr="002B6E14" w:rsidRDefault="002351B8" w:rsidP="00931A8C">
      <w:pPr>
        <w:numPr>
          <w:ilvl w:val="0"/>
          <w:numId w:val="1"/>
        </w:numPr>
        <w:spacing w:line="360" w:lineRule="auto"/>
        <w:jc w:val="both"/>
        <w:rPr>
          <w:lang w:val="ro-RO" w:eastAsia="ro-RO"/>
        </w:rPr>
      </w:pPr>
      <w:r w:rsidRPr="002B6E14">
        <w:rPr>
          <w:lang w:val="ro-RO"/>
        </w:rPr>
        <w:lastRenderedPageBreak/>
        <w:t>claritatea e valoroasă în sine, precizia însă nu.</w:t>
      </w:r>
    </w:p>
    <w:p w14:paraId="142E543C" w14:textId="79A48AA7" w:rsidR="00955F66" w:rsidRPr="00955F66" w:rsidRDefault="002351B8" w:rsidP="00955F66">
      <w:pPr>
        <w:pStyle w:val="Listparagraf"/>
        <w:numPr>
          <w:ilvl w:val="0"/>
          <w:numId w:val="1"/>
        </w:numPr>
        <w:spacing w:line="360" w:lineRule="auto"/>
        <w:jc w:val="both"/>
        <w:rPr>
          <w:lang w:val="ro-RO" w:eastAsia="ro-RO"/>
        </w:rPr>
      </w:pPr>
      <w:r w:rsidRPr="00955F66">
        <w:rPr>
          <w:lang w:val="ro-RO"/>
        </w:rPr>
        <w:t>orice soluţie dată unei probleme ridică noi probleme nerezolvate</w:t>
      </w:r>
      <w:r w:rsidRPr="002B6E14">
        <w:rPr>
          <w:rStyle w:val="Referinnotdesubsol"/>
          <w:lang w:val="ro-RO"/>
        </w:rPr>
        <w:footnoteReference w:id="6"/>
      </w:r>
    </w:p>
    <w:p w14:paraId="0CC73735" w14:textId="5062375F" w:rsidR="002351B8" w:rsidRPr="00955F66" w:rsidRDefault="002351B8" w:rsidP="00955F66">
      <w:pPr>
        <w:spacing w:line="360" w:lineRule="auto"/>
        <w:jc w:val="both"/>
        <w:rPr>
          <w:lang w:val="ro-RO" w:eastAsia="ro-RO"/>
        </w:rPr>
      </w:pPr>
      <w:r w:rsidRPr="00955F66">
        <w:rPr>
          <w:lang w:val="ro-RO" w:eastAsia="ro-RO"/>
        </w:rPr>
        <w:t xml:space="preserve">Ideile finale ale acestei conferinţe sunt relevante şi în subiectul analizat de mine deoarece Platon şi Popper se situează în tabere diferite în ceea ce priveşte problema autorităţii. Popper spune că trebuie: </w:t>
      </w:r>
      <w:r w:rsidRPr="00955F66">
        <w:rPr>
          <w:i/>
          <w:lang w:val="ro-RO" w:eastAsia="ro-RO"/>
        </w:rPr>
        <w:t>„să respingem ideea surselor ultime ale cunoaşterii şi să admitem că toată cunoaşterea este umană; că e amestecată cu erorile, prejudecăţile, visurile şi speranţele noastre; că tot ce putem face este să tatonăm după adevăr, chiar de-ar fi să nu-l aflăm nicicând. Putem admite că tatonările noastre sunt adesea inspirate, dar trebuie să ne ferim de credinţa, oricât de adânc simţită, că inspiraţia noastră posedă vreo autoritate, divină sau de alt fel.Dacă admitem astfel că în tot cuprinsul cunoaşterii noastre, oricât de departe ar fi răzbătut ea în necunoscut, nu există nici o autoritate sustrasă criticii, vom putea păstra fără vreun pericol ideea că adevărul e mai presus de autoritatea omenească.Această idee trebuie, de fapt, s-o păstrăm</w:t>
      </w:r>
      <w:r w:rsidRPr="00955F66">
        <w:rPr>
          <w:lang w:val="ro-RO" w:eastAsia="ro-RO"/>
        </w:rPr>
        <w:t>.”</w:t>
      </w:r>
      <w:r w:rsidRPr="002B6E14">
        <w:rPr>
          <w:rStyle w:val="Referinnotdesubsol"/>
          <w:lang w:val="ro-RO" w:eastAsia="ro-RO"/>
        </w:rPr>
        <w:footnoteReference w:id="7"/>
      </w:r>
    </w:p>
    <w:p w14:paraId="519DA5A6" w14:textId="77777777" w:rsidR="002351B8" w:rsidRDefault="002351B8" w:rsidP="00931A8C">
      <w:pPr>
        <w:spacing w:line="360" w:lineRule="auto"/>
        <w:ind w:firstLine="360"/>
        <w:jc w:val="both"/>
        <w:rPr>
          <w:lang w:val="ro-RO" w:eastAsia="ro-RO"/>
        </w:rPr>
      </w:pPr>
      <w:r w:rsidRPr="002B6E14">
        <w:rPr>
          <w:lang w:val="ro-RO" w:eastAsia="ro-RO"/>
        </w:rPr>
        <w:t xml:space="preserve">Deci, nu există „autorităţi” la care să apelăm pentru a ne </w:t>
      </w:r>
      <w:r>
        <w:rPr>
          <w:lang w:val="ro-RO" w:eastAsia="ro-RO"/>
        </w:rPr>
        <w:t>dezvălui şi interpreta adevărul</w:t>
      </w:r>
      <w:r w:rsidRPr="002B6E14">
        <w:rPr>
          <w:lang w:val="ro-RO" w:eastAsia="ro-RO"/>
        </w:rPr>
        <w:t xml:space="preserve">, pentru a ne lumina ceea ce mintea noastră nu poate vedea, nu există conducători care să cunoască mai bine decât oricine „calea” spre Bine, spre adevăr, care să ne scoată din „peşteră”.  Din această perspectivă îl citeşte şi interpretează Karl Popper pe Platon şi </w:t>
      </w:r>
      <w:r w:rsidRPr="002B6E14">
        <w:rPr>
          <w:i/>
          <w:lang w:val="ro-RO" w:eastAsia="ro-RO"/>
        </w:rPr>
        <w:t>Republica</w:t>
      </w:r>
      <w:r w:rsidRPr="002B6E14">
        <w:rPr>
          <w:lang w:val="ro-RO" w:eastAsia="ro-RO"/>
        </w:rPr>
        <w:t xml:space="preserve"> sa şi din această perspectivă îi şi critică „programul politic”. Aşa cum întrebarea referitoare la sursele cunoaşterii era pusă greşit, după părerea lui Popper, la fel şi cea din teoria politică referitoare la cine trebuie să ne conducă este greşită întrucât presupune un răspuns autoritar de tipul „ cei mai buni”sau „cei mai înţelepţi”.</w:t>
      </w:r>
      <w:r w:rsidRPr="002B6E14">
        <w:rPr>
          <w:rStyle w:val="Referinnotdesubsol"/>
          <w:lang w:val="ro-RO" w:eastAsia="ro-RO"/>
        </w:rPr>
        <w:footnoteReference w:id="8"/>
      </w:r>
      <w:r w:rsidRPr="002B6E14">
        <w:rPr>
          <w:lang w:val="ro-RO" w:eastAsia="ro-RO"/>
        </w:rPr>
        <w:t>Aceasta întrebare ar trebui înlocuită cu</w:t>
      </w:r>
      <w:r>
        <w:rPr>
          <w:lang w:val="ro-RO" w:eastAsia="ro-RO"/>
        </w:rPr>
        <w:t xml:space="preserve"> „</w:t>
      </w:r>
      <w:r w:rsidRPr="002B6E14">
        <w:rPr>
          <w:i/>
          <w:lang w:val="ro-RO" w:eastAsia="ro-RO"/>
        </w:rPr>
        <w:t>Cum putem organiza instituţiile noastre politice în aşa fel încât conducătorii răi sau incompetenţi să nu poată dăuna prea mult?”</w:t>
      </w:r>
      <w:r>
        <w:rPr>
          <w:i/>
          <w:lang w:val="ro-RO" w:eastAsia="ro-RO"/>
        </w:rPr>
        <w:t xml:space="preserve"> </w:t>
      </w:r>
      <w:r w:rsidRPr="002B6E14">
        <w:rPr>
          <w:lang w:val="ro-RO" w:eastAsia="ro-RO"/>
        </w:rPr>
        <w:t>Metoda încercării şi erorii poate fi aplicată şi în plan politic. Întrucât nu putem planifi</w:t>
      </w:r>
      <w:r>
        <w:rPr>
          <w:lang w:val="ro-RO" w:eastAsia="ro-RO"/>
        </w:rPr>
        <w:t>ca o societate în ansamblul său</w:t>
      </w:r>
      <w:r w:rsidRPr="002B6E14">
        <w:rPr>
          <w:lang w:val="ro-RO" w:eastAsia="ro-RO"/>
        </w:rPr>
        <w:t>, putem încerca să eliminăm răul social reformând instituţii</w:t>
      </w:r>
      <w:r>
        <w:rPr>
          <w:lang w:val="ro-RO" w:eastAsia="ro-RO"/>
        </w:rPr>
        <w:t>le şi tradiţiile deja existente</w:t>
      </w:r>
      <w:r w:rsidRPr="002B6E14">
        <w:rPr>
          <w:lang w:val="ro-RO" w:eastAsia="ro-RO"/>
        </w:rPr>
        <w:t>, înlocuindu-le cu unele noi mai potrivite. Forma de guvernământ agreeată de Popper</w:t>
      </w:r>
      <w:r>
        <w:rPr>
          <w:lang w:val="ro-RO" w:eastAsia="ro-RO"/>
        </w:rPr>
        <w:t xml:space="preserve">, </w:t>
      </w:r>
      <w:r w:rsidRPr="002B6E14">
        <w:rPr>
          <w:lang w:val="ro-RO" w:eastAsia="ro-RO"/>
        </w:rPr>
        <w:t>democ</w:t>
      </w:r>
      <w:r>
        <w:rPr>
          <w:lang w:val="ro-RO" w:eastAsia="ro-RO"/>
        </w:rPr>
        <w:t>raţia, departe de a fi perfectă</w:t>
      </w:r>
      <w:r w:rsidRPr="002B6E14">
        <w:rPr>
          <w:lang w:val="ro-RO" w:eastAsia="ro-RO"/>
        </w:rPr>
        <w:t>,</w:t>
      </w:r>
      <w:r>
        <w:rPr>
          <w:lang w:val="ro-RO" w:eastAsia="ro-RO"/>
        </w:rPr>
        <w:t xml:space="preserve"> </w:t>
      </w:r>
      <w:r w:rsidRPr="002B6E14">
        <w:rPr>
          <w:lang w:val="ro-RO" w:eastAsia="ro-RO"/>
        </w:rPr>
        <w:t xml:space="preserve">permite totuşi controlul cetăţenilor asupra guvernanţilor şi posibilitatea înlocuirii celor de la conducere fără a uza de forţă.  </w:t>
      </w:r>
    </w:p>
    <w:p w14:paraId="27E8B064" w14:textId="77777777" w:rsidR="001F30EC" w:rsidRDefault="001F30EC" w:rsidP="00931A8C">
      <w:pPr>
        <w:spacing w:line="360" w:lineRule="auto"/>
      </w:pPr>
    </w:p>
    <w:sectPr w:rsidR="001F30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DE896" w14:textId="77777777" w:rsidR="00CF2071" w:rsidRDefault="00CF2071" w:rsidP="002351B8">
      <w:r>
        <w:separator/>
      </w:r>
    </w:p>
  </w:endnote>
  <w:endnote w:type="continuationSeparator" w:id="0">
    <w:p w14:paraId="3B8396DB" w14:textId="77777777" w:rsidR="00CF2071" w:rsidRDefault="00CF2071" w:rsidP="00235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99C40D" w14:textId="77777777" w:rsidR="00CF2071" w:rsidRDefault="00CF2071" w:rsidP="002351B8">
      <w:r>
        <w:separator/>
      </w:r>
    </w:p>
  </w:footnote>
  <w:footnote w:type="continuationSeparator" w:id="0">
    <w:p w14:paraId="528F4B15" w14:textId="77777777" w:rsidR="00CF2071" w:rsidRDefault="00CF2071" w:rsidP="002351B8">
      <w:r>
        <w:continuationSeparator/>
      </w:r>
    </w:p>
  </w:footnote>
  <w:footnote w:id="1">
    <w:p w14:paraId="3A520A32" w14:textId="77777777" w:rsidR="002351B8" w:rsidRPr="006923A2" w:rsidRDefault="002351B8" w:rsidP="002351B8">
      <w:pPr>
        <w:pStyle w:val="Textnotdesubsol"/>
        <w:rPr>
          <w:lang w:val="pt-BR"/>
        </w:rPr>
      </w:pPr>
      <w:r>
        <w:rPr>
          <w:rStyle w:val="Referinnotdesubsol"/>
        </w:rPr>
        <w:footnoteRef/>
      </w:r>
      <w:r w:rsidRPr="00023024">
        <w:rPr>
          <w:i/>
          <w:lang w:val="fr-FR"/>
        </w:rPr>
        <w:t xml:space="preserve"> idem</w:t>
      </w:r>
      <w:r>
        <w:rPr>
          <w:lang w:val="fr-FR"/>
        </w:rPr>
        <w:t xml:space="preserve">, </w:t>
      </w:r>
      <w:r w:rsidRPr="00F73A9D">
        <w:rPr>
          <w:i/>
          <w:lang w:val="fr-FR"/>
        </w:rPr>
        <w:t xml:space="preserve">Conjecturi şi infirmări. </w:t>
      </w:r>
      <w:r w:rsidRPr="00F73A9D">
        <w:rPr>
          <w:i/>
          <w:lang w:val="pt-BR"/>
        </w:rPr>
        <w:t>Creşterea cunoaşterii ştiinţifice,</w:t>
      </w:r>
      <w:r>
        <w:rPr>
          <w:lang w:val="pt-BR"/>
        </w:rPr>
        <w:t xml:space="preserve"> Editura Trei, B</w:t>
      </w:r>
      <w:r w:rsidRPr="006923A2">
        <w:rPr>
          <w:lang w:val="pt-BR"/>
        </w:rPr>
        <w:t>ucureşti, 2001, p.7</w:t>
      </w:r>
    </w:p>
  </w:footnote>
  <w:footnote w:id="2">
    <w:p w14:paraId="785E01F1" w14:textId="77777777" w:rsidR="002351B8" w:rsidRPr="00EB1F0D" w:rsidRDefault="002351B8" w:rsidP="002351B8">
      <w:pPr>
        <w:pStyle w:val="Textnotdesubsol"/>
        <w:rPr>
          <w:lang w:val="ro-RO"/>
        </w:rPr>
      </w:pPr>
      <w:r>
        <w:rPr>
          <w:rStyle w:val="Referinnotdesubsol"/>
        </w:rPr>
        <w:footnoteRef/>
      </w:r>
      <w:r w:rsidRPr="00EB1F0D">
        <w:rPr>
          <w:lang w:val="fr-FR"/>
        </w:rPr>
        <w:t xml:space="preserve"> </w:t>
      </w:r>
      <w:r>
        <w:rPr>
          <w:lang w:val="ro-RO"/>
        </w:rPr>
        <w:t xml:space="preserve">K. R. Popper, </w:t>
      </w:r>
      <w:r w:rsidRPr="00F73A9D">
        <w:rPr>
          <w:i/>
          <w:lang w:val="ro-RO"/>
        </w:rPr>
        <w:t xml:space="preserve">Societatea deschisă şi duşmanii </w:t>
      </w:r>
      <w:r>
        <w:rPr>
          <w:lang w:val="ro-RO"/>
        </w:rPr>
        <w:t xml:space="preserve">ei, vol. II, Editura Humanitas, Bucureşti, 2005, p.417 </w:t>
      </w:r>
    </w:p>
  </w:footnote>
  <w:footnote w:id="3">
    <w:p w14:paraId="6E176D11" w14:textId="77777777" w:rsidR="002351B8" w:rsidRPr="00ED0920" w:rsidRDefault="002351B8" w:rsidP="002351B8">
      <w:pPr>
        <w:pStyle w:val="Textnotdesubsol"/>
        <w:rPr>
          <w:lang w:val="ro-RO"/>
        </w:rPr>
      </w:pPr>
      <w:r>
        <w:rPr>
          <w:rStyle w:val="Referinnotdesubsol"/>
        </w:rPr>
        <w:footnoteRef/>
      </w:r>
      <w:r w:rsidRPr="00ED0920">
        <w:rPr>
          <w:lang w:val="ro-RO"/>
        </w:rPr>
        <w:t xml:space="preserve"> </w:t>
      </w:r>
      <w:r>
        <w:rPr>
          <w:lang w:val="ro-RO"/>
        </w:rPr>
        <w:t xml:space="preserve">Oservaţie regăsită şi la M. Flonta , </w:t>
      </w:r>
      <w:r w:rsidRPr="00ED0920">
        <w:rPr>
          <w:i/>
          <w:lang w:val="ro-RO"/>
        </w:rPr>
        <w:t>Cogniţio,O introducere critică în problema cunoaşterii</w:t>
      </w:r>
      <w:r>
        <w:rPr>
          <w:lang w:val="ro-RO"/>
        </w:rPr>
        <w:t>,  Editura ALL, Bucureşti, 1994, p.42 -43</w:t>
      </w:r>
    </w:p>
  </w:footnote>
  <w:footnote w:id="4">
    <w:p w14:paraId="4BDCFDC7" w14:textId="77777777" w:rsidR="002351B8" w:rsidRPr="00D93D84" w:rsidRDefault="002351B8" w:rsidP="002351B8">
      <w:pPr>
        <w:pStyle w:val="Textnotdesubsol"/>
        <w:rPr>
          <w:lang w:val="ro-RO"/>
        </w:rPr>
      </w:pPr>
      <w:r>
        <w:rPr>
          <w:rStyle w:val="Referinnotdesubsol"/>
        </w:rPr>
        <w:footnoteRef/>
      </w:r>
      <w:r w:rsidRPr="00AC7C8D">
        <w:rPr>
          <w:lang w:val="ro-RO"/>
        </w:rPr>
        <w:t xml:space="preserve"> </w:t>
      </w:r>
      <w:r>
        <w:rPr>
          <w:lang w:val="ro-RO"/>
        </w:rPr>
        <w:t xml:space="preserve">K.R.Popper, </w:t>
      </w:r>
      <w:r w:rsidRPr="00ED0920">
        <w:rPr>
          <w:i/>
          <w:lang w:val="ro-RO"/>
        </w:rPr>
        <w:t>Despre sursele cunoaşterii şi ale ignoranţe</w:t>
      </w:r>
      <w:r>
        <w:rPr>
          <w:lang w:val="ro-RO"/>
        </w:rPr>
        <w:t xml:space="preserve">i, </w:t>
      </w:r>
      <w:r w:rsidRPr="00526C86">
        <w:rPr>
          <w:i/>
          <w:lang w:val="ro-RO"/>
        </w:rPr>
        <w:t>apud.</w:t>
      </w:r>
      <w:r>
        <w:rPr>
          <w:lang w:val="ro-RO"/>
        </w:rPr>
        <w:t xml:space="preserve"> M. Flonta(coord.), Filosoful-Rege?, Editura Humanitas, Bucureşti, 1992, p.128 </w:t>
      </w:r>
    </w:p>
  </w:footnote>
  <w:footnote w:id="5">
    <w:p w14:paraId="780097C0" w14:textId="77777777" w:rsidR="002351B8" w:rsidRPr="00AC7C8D" w:rsidRDefault="002351B8" w:rsidP="002351B8">
      <w:pPr>
        <w:pStyle w:val="Textnotdesubsol"/>
        <w:rPr>
          <w:lang w:val="ro-RO"/>
        </w:rPr>
      </w:pPr>
      <w:r>
        <w:rPr>
          <w:rStyle w:val="Referinnotdesubsol"/>
        </w:rPr>
        <w:footnoteRef/>
      </w:r>
      <w:r w:rsidRPr="00AC7C8D">
        <w:rPr>
          <w:lang w:val="ro-RO"/>
        </w:rPr>
        <w:t xml:space="preserve"> </w:t>
      </w:r>
      <w:r>
        <w:rPr>
          <w:lang w:val="ro-RO"/>
        </w:rPr>
        <w:t xml:space="preserve">K.R.Popper, </w:t>
      </w:r>
      <w:r w:rsidRPr="00526C86">
        <w:rPr>
          <w:i/>
          <w:lang w:val="ro-RO"/>
        </w:rPr>
        <w:t>op. cit.,</w:t>
      </w:r>
      <w:r>
        <w:rPr>
          <w:lang w:val="ro-RO"/>
        </w:rPr>
        <w:t xml:space="preserve"> p.129 </w:t>
      </w:r>
    </w:p>
  </w:footnote>
  <w:footnote w:id="6">
    <w:p w14:paraId="49CAA67F" w14:textId="77777777" w:rsidR="002351B8" w:rsidRPr="00C66D56" w:rsidRDefault="002351B8" w:rsidP="002351B8">
      <w:pPr>
        <w:pStyle w:val="Textnotdesubsol"/>
        <w:rPr>
          <w:lang w:val="ro-RO"/>
        </w:rPr>
      </w:pPr>
      <w:r>
        <w:rPr>
          <w:rStyle w:val="Referinnotdesubsol"/>
        </w:rPr>
        <w:footnoteRef/>
      </w:r>
      <w:r w:rsidRPr="00C66D56">
        <w:rPr>
          <w:lang w:val="ro-RO"/>
        </w:rPr>
        <w:t xml:space="preserve"> </w:t>
      </w:r>
      <w:r>
        <w:rPr>
          <w:lang w:val="ro-RO"/>
        </w:rPr>
        <w:t xml:space="preserve">K.R.Popper, </w:t>
      </w:r>
      <w:r w:rsidRPr="00526C86">
        <w:rPr>
          <w:i/>
          <w:lang w:val="ro-RO"/>
        </w:rPr>
        <w:t>op. cit</w:t>
      </w:r>
      <w:r>
        <w:rPr>
          <w:lang w:val="ro-RO"/>
        </w:rPr>
        <w:t xml:space="preserve">., p.131-133 </w:t>
      </w:r>
    </w:p>
  </w:footnote>
  <w:footnote w:id="7">
    <w:p w14:paraId="7E6238D0" w14:textId="77777777" w:rsidR="002351B8" w:rsidRPr="006F717F" w:rsidRDefault="002351B8" w:rsidP="002351B8">
      <w:pPr>
        <w:pStyle w:val="Textnotdesubsol"/>
        <w:rPr>
          <w:lang w:val="ro-RO"/>
        </w:rPr>
      </w:pPr>
      <w:r>
        <w:rPr>
          <w:rStyle w:val="Referinnotdesubsol"/>
        </w:rPr>
        <w:footnoteRef/>
      </w:r>
      <w:r w:rsidRPr="006F717F">
        <w:rPr>
          <w:lang w:val="ro-RO"/>
        </w:rPr>
        <w:t xml:space="preserve"> </w:t>
      </w:r>
      <w:r>
        <w:rPr>
          <w:lang w:val="ro-RO"/>
        </w:rPr>
        <w:t xml:space="preserve">K.R.Popper, </w:t>
      </w:r>
      <w:r>
        <w:rPr>
          <w:i/>
          <w:lang w:val="ro-RO"/>
        </w:rPr>
        <w:t xml:space="preserve">op. cit., </w:t>
      </w:r>
      <w:r>
        <w:rPr>
          <w:lang w:val="ro-RO"/>
        </w:rPr>
        <w:t xml:space="preserve"> p.135 </w:t>
      </w:r>
    </w:p>
  </w:footnote>
  <w:footnote w:id="8">
    <w:p w14:paraId="192A8C3C" w14:textId="77777777" w:rsidR="002351B8" w:rsidRPr="00D61A89" w:rsidRDefault="002351B8" w:rsidP="002351B8">
      <w:pPr>
        <w:pStyle w:val="Textnotdesubsol"/>
        <w:rPr>
          <w:lang w:val="ro-RO"/>
        </w:rPr>
      </w:pPr>
      <w:r>
        <w:rPr>
          <w:rStyle w:val="Referinnotdesubsol"/>
        </w:rPr>
        <w:footnoteRef/>
      </w:r>
      <w:r w:rsidRPr="006F717F">
        <w:rPr>
          <w:lang w:val="ro-RO"/>
        </w:rPr>
        <w:t xml:space="preserve"> </w:t>
      </w:r>
      <w:r>
        <w:rPr>
          <w:lang w:val="ro-RO"/>
        </w:rPr>
        <w:t xml:space="preserve">K.R.Popper, </w:t>
      </w:r>
      <w:r>
        <w:rPr>
          <w:i/>
          <w:lang w:val="ro-RO"/>
        </w:rPr>
        <w:t xml:space="preserve">op. cit., </w:t>
      </w:r>
      <w:r>
        <w:rPr>
          <w:lang w:val="ro-RO"/>
        </w:rPr>
        <w:t xml:space="preserve"> p.127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E7594F"/>
    <w:multiLevelType w:val="hybridMultilevel"/>
    <w:tmpl w:val="F6EC5C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836249E"/>
    <w:multiLevelType w:val="hybridMultilevel"/>
    <w:tmpl w:val="9C366D2C"/>
    <w:lvl w:ilvl="0" w:tplc="BA1E8DE2">
      <w:start w:val="1"/>
      <w:numFmt w:val="decimal"/>
      <w:lvlText w:val="%1."/>
      <w:lvlJc w:val="left"/>
      <w:pPr>
        <w:tabs>
          <w:tab w:val="num" w:pos="720"/>
        </w:tabs>
        <w:ind w:left="720" w:hanging="360"/>
      </w:pPr>
      <w:rPr>
        <w:rFonts w:hint="default"/>
        <w:b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56737504">
    <w:abstractNumId w:val="0"/>
  </w:num>
  <w:num w:numId="2" w16cid:durableId="1738698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D0"/>
    <w:rsid w:val="000B5856"/>
    <w:rsid w:val="001F30EC"/>
    <w:rsid w:val="001F7CA7"/>
    <w:rsid w:val="002351B8"/>
    <w:rsid w:val="004F692A"/>
    <w:rsid w:val="00591579"/>
    <w:rsid w:val="008A77FE"/>
    <w:rsid w:val="00931A8C"/>
    <w:rsid w:val="00955F66"/>
    <w:rsid w:val="00A033D0"/>
    <w:rsid w:val="00B37EEE"/>
    <w:rsid w:val="00CF2071"/>
    <w:rsid w:val="00D63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E5557"/>
  <w15:chartTrackingRefBased/>
  <w15:docId w15:val="{5F73F9F9-DB09-4345-85BB-AE7A3B50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1B8"/>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semiHidden/>
    <w:rsid w:val="002351B8"/>
    <w:rPr>
      <w:sz w:val="20"/>
      <w:szCs w:val="20"/>
    </w:rPr>
  </w:style>
  <w:style w:type="character" w:customStyle="1" w:styleId="TextnotdesubsolCaracter">
    <w:name w:val="Text notă de subsol Caracter"/>
    <w:basedOn w:val="Fontdeparagrafimplicit"/>
    <w:link w:val="Textnotdesubsol"/>
    <w:semiHidden/>
    <w:rsid w:val="002351B8"/>
    <w:rPr>
      <w:rFonts w:ascii="Times New Roman" w:eastAsia="Times New Roman" w:hAnsi="Times New Roman" w:cs="Times New Roman"/>
      <w:sz w:val="20"/>
      <w:szCs w:val="20"/>
    </w:rPr>
  </w:style>
  <w:style w:type="character" w:styleId="Referinnotdesubsol">
    <w:name w:val="footnote reference"/>
    <w:basedOn w:val="Fontdeparagrafimplicit"/>
    <w:semiHidden/>
    <w:rsid w:val="002351B8"/>
    <w:rPr>
      <w:vertAlign w:val="superscript"/>
    </w:rPr>
  </w:style>
  <w:style w:type="paragraph" w:styleId="Listparagraf">
    <w:name w:val="List Paragraph"/>
    <w:basedOn w:val="Normal"/>
    <w:uiPriority w:val="34"/>
    <w:qFormat/>
    <w:rsid w:val="00955F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Marilena Dobre</cp:lastModifiedBy>
  <cp:revision>2</cp:revision>
  <dcterms:created xsi:type="dcterms:W3CDTF">2024-06-12T08:55:00Z</dcterms:created>
  <dcterms:modified xsi:type="dcterms:W3CDTF">2024-06-12T08:55:00Z</dcterms:modified>
</cp:coreProperties>
</file>